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3D0D" w14:textId="77777777" w:rsidR="007D6FB9" w:rsidRDefault="007D6FB9" w:rsidP="00457EFC">
      <w:pPr>
        <w:jc w:val="center"/>
      </w:pPr>
    </w:p>
    <w:p w14:paraId="2587E036" w14:textId="77777777" w:rsidR="00427BAC" w:rsidRDefault="00427BAC" w:rsidP="00457EFC">
      <w:pPr>
        <w:jc w:val="center"/>
      </w:pPr>
    </w:p>
    <w:p w14:paraId="68B12BD7" w14:textId="77777777" w:rsidR="00427BAC" w:rsidRDefault="00427BAC" w:rsidP="00457EFC">
      <w:pPr>
        <w:jc w:val="center"/>
      </w:pPr>
    </w:p>
    <w:p w14:paraId="6FEBC818" w14:textId="77777777" w:rsidR="00427BAC" w:rsidRDefault="00427BAC" w:rsidP="00457EFC">
      <w:pPr>
        <w:jc w:val="center"/>
      </w:pPr>
    </w:p>
    <w:p w14:paraId="43683DA0" w14:textId="77777777" w:rsidR="00427BAC" w:rsidRDefault="00427BAC" w:rsidP="00457EFC">
      <w:pPr>
        <w:jc w:val="center"/>
      </w:pPr>
    </w:p>
    <w:p w14:paraId="1110F52D" w14:textId="77777777" w:rsidR="00427BAC" w:rsidRDefault="00427BAC" w:rsidP="00457EFC">
      <w:pPr>
        <w:jc w:val="center"/>
      </w:pPr>
    </w:p>
    <w:p w14:paraId="529A6EDA" w14:textId="77777777" w:rsidR="00AA2CE6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Arial Hebrew"/>
          <w:b/>
          <w:bCs/>
          <w:noProof w:val="0"/>
          <w:sz w:val="54"/>
          <w:szCs w:val="54"/>
          <w:lang w:val="fr-FR"/>
        </w:rPr>
      </w:pPr>
      <w:r>
        <w:rPr>
          <w:rFonts w:ascii="Helvetica" w:hAnsi="Helvetica" w:cs="Arial Hebrew"/>
          <w:b/>
          <w:bCs/>
          <w:sz w:val="54"/>
          <w:szCs w:val="54"/>
          <w:lang w:val="fr-FR"/>
        </w:rPr>
        <w:drawing>
          <wp:anchor distT="0" distB="0" distL="114300" distR="114300" simplePos="0" relativeHeight="251658240" behindDoc="0" locked="0" layoutInCell="1" allowOverlap="1" wp14:anchorId="37732CD9" wp14:editId="588C5F17">
            <wp:simplePos x="0" y="0"/>
            <wp:positionH relativeFrom="column">
              <wp:posOffset>2219960</wp:posOffset>
            </wp:positionH>
            <wp:positionV relativeFrom="paragraph">
              <wp:posOffset>-795020</wp:posOffset>
            </wp:positionV>
            <wp:extent cx="1645920" cy="1685290"/>
            <wp:effectExtent l="0" t="0" r="5080" b="0"/>
            <wp:wrapThrough wrapText="bothSides">
              <wp:wrapPolygon edited="0">
                <wp:start x="0" y="0"/>
                <wp:lineTo x="0" y="21161"/>
                <wp:lineTo x="21333" y="21161"/>
                <wp:lineTo x="2133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B812F" w14:textId="77777777" w:rsidR="00AA2CE6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Arial Hebrew"/>
          <w:b/>
          <w:bCs/>
          <w:noProof w:val="0"/>
          <w:sz w:val="54"/>
          <w:szCs w:val="54"/>
          <w:lang w:val="fr-FR"/>
        </w:rPr>
      </w:pPr>
    </w:p>
    <w:p w14:paraId="2DB78F57" w14:textId="77777777" w:rsidR="00AA2CE6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Arial Hebrew"/>
          <w:b/>
          <w:bCs/>
          <w:noProof w:val="0"/>
          <w:sz w:val="54"/>
          <w:szCs w:val="54"/>
          <w:lang w:val="fr-FR"/>
        </w:rPr>
      </w:pPr>
    </w:p>
    <w:p w14:paraId="7602B6F9" w14:textId="77777777" w:rsidR="00AA2CE6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Arial Hebrew"/>
          <w:b/>
          <w:bCs/>
          <w:noProof w:val="0"/>
          <w:sz w:val="54"/>
          <w:szCs w:val="54"/>
          <w:lang w:val="fr-FR"/>
        </w:rPr>
      </w:pPr>
    </w:p>
    <w:p w14:paraId="2EB268E8" w14:textId="77777777" w:rsidR="00200631" w:rsidRDefault="00427BAC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noProof w:val="0"/>
          <w:color w:val="2F4586"/>
          <w:sz w:val="54"/>
          <w:szCs w:val="54"/>
          <w:lang w:val="fr-FR"/>
        </w:rPr>
      </w:pPr>
      <w:r w:rsidRPr="00200631">
        <w:rPr>
          <w:rFonts w:ascii="Arial" w:hAnsi="Arial" w:cs="Arial"/>
          <w:b/>
          <w:bCs/>
          <w:noProof w:val="0"/>
          <w:color w:val="2F4586"/>
          <w:sz w:val="54"/>
          <w:szCs w:val="54"/>
          <w:lang w:val="fr-FR"/>
        </w:rPr>
        <w:t>FONDS DE DÉVELOPPEMENT</w:t>
      </w:r>
    </w:p>
    <w:p w14:paraId="61325B67" w14:textId="0D6F68CF" w:rsidR="00AA2CE6" w:rsidRPr="00200631" w:rsidRDefault="00427BAC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noProof w:val="0"/>
          <w:color w:val="2F4586"/>
          <w:sz w:val="54"/>
          <w:szCs w:val="54"/>
          <w:lang w:val="fr-FR"/>
        </w:rPr>
      </w:pPr>
      <w:r w:rsidRPr="00200631">
        <w:rPr>
          <w:rFonts w:ascii="Arial" w:hAnsi="Arial" w:cs="Arial"/>
          <w:b/>
          <w:bCs/>
          <w:noProof w:val="0"/>
          <w:color w:val="2F4586"/>
          <w:sz w:val="54"/>
          <w:szCs w:val="54"/>
          <w:lang w:val="fr-FR"/>
        </w:rPr>
        <w:t xml:space="preserve"> DES TERRITOIRES</w:t>
      </w:r>
    </w:p>
    <w:p w14:paraId="63E95C73" w14:textId="77777777" w:rsidR="00AA2CE6" w:rsidRPr="00200631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noProof w:val="0"/>
          <w:color w:val="2F4586"/>
          <w:sz w:val="54"/>
          <w:szCs w:val="54"/>
          <w:lang w:val="fr-FR"/>
        </w:rPr>
      </w:pPr>
    </w:p>
    <w:p w14:paraId="0A8CA669" w14:textId="77777777" w:rsidR="00AA2CE6" w:rsidRPr="00200631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noProof w:val="0"/>
          <w:color w:val="2F4586"/>
          <w:sz w:val="54"/>
          <w:szCs w:val="54"/>
          <w:lang w:val="fr-FR"/>
        </w:rPr>
      </w:pPr>
    </w:p>
    <w:p w14:paraId="50D8BC92" w14:textId="77777777" w:rsidR="00427BAC" w:rsidRPr="00200631" w:rsidRDefault="00427BAC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noProof w:val="0"/>
          <w:color w:val="2F4586"/>
          <w:lang w:val="fr-FR"/>
        </w:rPr>
      </w:pPr>
      <w:r w:rsidRPr="00200631">
        <w:rPr>
          <w:rFonts w:ascii="Arial" w:hAnsi="Arial" w:cs="Arial"/>
          <w:b/>
          <w:bCs/>
          <w:noProof w:val="0"/>
          <w:color w:val="2F4586"/>
          <w:sz w:val="54"/>
          <w:szCs w:val="54"/>
          <w:lang w:val="fr-FR"/>
        </w:rPr>
        <w:t>RAPPORT ANNUEL D’ACTIVITÉS</w:t>
      </w:r>
    </w:p>
    <w:p w14:paraId="25C7103F" w14:textId="77777777" w:rsidR="00AA2CE6" w:rsidRPr="00200631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noProof w:val="0"/>
          <w:color w:val="2F4586"/>
          <w:sz w:val="38"/>
          <w:szCs w:val="38"/>
          <w:lang w:val="fr-FR"/>
        </w:rPr>
      </w:pPr>
    </w:p>
    <w:p w14:paraId="60C7073E" w14:textId="77777777" w:rsidR="00AA2CE6" w:rsidRPr="008F552C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noProof w:val="0"/>
          <w:color w:val="548DD4" w:themeColor="text2" w:themeTint="99"/>
          <w:sz w:val="38"/>
          <w:szCs w:val="38"/>
          <w:lang w:val="fr-FR"/>
        </w:rPr>
      </w:pPr>
    </w:p>
    <w:p w14:paraId="4E6DC4DE" w14:textId="77777777" w:rsidR="00AA2CE6" w:rsidRPr="00225EDD" w:rsidRDefault="00AA2CE6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noProof w:val="0"/>
          <w:sz w:val="38"/>
          <w:szCs w:val="38"/>
          <w:lang w:val="fr-FR"/>
        </w:rPr>
      </w:pPr>
    </w:p>
    <w:p w14:paraId="64264F57" w14:textId="2425669D" w:rsidR="00427BAC" w:rsidRPr="00225EDD" w:rsidRDefault="00427BAC" w:rsidP="00457EF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noProof w:val="0"/>
          <w:lang w:val="fr-FR"/>
        </w:rPr>
      </w:pPr>
      <w:r w:rsidRPr="00225EDD">
        <w:rPr>
          <w:rFonts w:ascii="Arial" w:hAnsi="Arial" w:cs="Arial"/>
          <w:noProof w:val="0"/>
          <w:sz w:val="38"/>
          <w:szCs w:val="38"/>
          <w:lang w:val="fr-FR"/>
        </w:rPr>
        <w:t>1</w:t>
      </w:r>
      <w:r w:rsidRPr="00225EDD">
        <w:rPr>
          <w:rFonts w:ascii="Arial" w:hAnsi="Arial" w:cs="Arial"/>
          <w:noProof w:val="0"/>
          <w:position w:val="16"/>
          <w:lang w:val="fr-FR"/>
        </w:rPr>
        <w:t xml:space="preserve">er </w:t>
      </w:r>
      <w:r w:rsidR="00EE1175">
        <w:rPr>
          <w:rFonts w:ascii="Arial" w:hAnsi="Arial" w:cs="Arial"/>
          <w:noProof w:val="0"/>
          <w:sz w:val="38"/>
          <w:szCs w:val="38"/>
          <w:lang w:val="fr-FR"/>
        </w:rPr>
        <w:t xml:space="preserve"> Avril </w:t>
      </w:r>
      <w:r w:rsidRPr="00225EDD">
        <w:rPr>
          <w:rFonts w:ascii="Arial" w:hAnsi="Arial" w:cs="Arial"/>
          <w:noProof w:val="0"/>
          <w:sz w:val="38"/>
          <w:szCs w:val="38"/>
          <w:lang w:val="fr-FR"/>
        </w:rPr>
        <w:t>201</w:t>
      </w:r>
      <w:r w:rsidR="003A5EAB">
        <w:rPr>
          <w:rFonts w:ascii="Arial" w:hAnsi="Arial" w:cs="Arial"/>
          <w:noProof w:val="0"/>
          <w:sz w:val="38"/>
          <w:szCs w:val="38"/>
          <w:lang w:val="fr-FR"/>
        </w:rPr>
        <w:t>8</w:t>
      </w:r>
      <w:r w:rsidRPr="00225EDD">
        <w:rPr>
          <w:rFonts w:ascii="Arial" w:hAnsi="Arial" w:cs="Arial"/>
          <w:noProof w:val="0"/>
          <w:sz w:val="38"/>
          <w:szCs w:val="38"/>
          <w:lang w:val="fr-FR"/>
        </w:rPr>
        <w:t xml:space="preserve"> au 31 mars 201</w:t>
      </w:r>
      <w:r w:rsidR="003A5EAB">
        <w:rPr>
          <w:rFonts w:ascii="Arial" w:hAnsi="Arial" w:cs="Arial"/>
          <w:noProof w:val="0"/>
          <w:sz w:val="38"/>
          <w:szCs w:val="38"/>
          <w:lang w:val="fr-FR"/>
        </w:rPr>
        <w:t>9</w:t>
      </w:r>
    </w:p>
    <w:p w14:paraId="2CBE9C84" w14:textId="77777777" w:rsidR="00427BAC" w:rsidRPr="00AF1207" w:rsidRDefault="00427BAC" w:rsidP="00091500">
      <w:pPr>
        <w:jc w:val="both"/>
        <w:rPr>
          <w:rFonts w:ascii="Arial" w:hAnsi="Arial" w:cs="Arial"/>
          <w:lang w:val="fr-FR"/>
        </w:rPr>
      </w:pPr>
    </w:p>
    <w:p w14:paraId="27873A9D" w14:textId="77777777" w:rsidR="009D7418" w:rsidRPr="00225EDD" w:rsidRDefault="009D7418" w:rsidP="00091500">
      <w:pPr>
        <w:jc w:val="both"/>
        <w:rPr>
          <w:rFonts w:ascii="Arial" w:hAnsi="Arial" w:cs="Arial"/>
        </w:rPr>
      </w:pPr>
    </w:p>
    <w:p w14:paraId="25E9B060" w14:textId="77777777" w:rsidR="00707621" w:rsidRDefault="00707621" w:rsidP="00091500">
      <w:pPr>
        <w:jc w:val="both"/>
        <w:rPr>
          <w:rFonts w:ascii="Arial" w:hAnsi="Arial" w:cs="Arial"/>
          <w:color w:val="0000B8"/>
        </w:rPr>
      </w:pPr>
    </w:p>
    <w:p w14:paraId="4D434666" w14:textId="58402D0B" w:rsidR="0098481A" w:rsidRPr="00CC7B55" w:rsidRDefault="0098481A" w:rsidP="00CC7B55">
      <w:pPr>
        <w:pStyle w:val="Titre1"/>
      </w:pPr>
      <w:r w:rsidRPr="00CC7B55">
        <w:lastRenderedPageBreak/>
        <w:t>Mise en contexte</w:t>
      </w:r>
    </w:p>
    <w:p w14:paraId="0B3B5A43" w14:textId="77777777" w:rsidR="0098481A" w:rsidRPr="0098481A" w:rsidRDefault="0098481A" w:rsidP="00CC7B55">
      <w:pPr>
        <w:jc w:val="both"/>
      </w:pPr>
    </w:p>
    <w:p w14:paraId="13B008A9" w14:textId="0CF25470" w:rsidR="00A551DF" w:rsidRPr="00CC7B55" w:rsidRDefault="0098481A" w:rsidP="00CC7B5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>Le</w:t>
      </w:r>
      <w:r w:rsidR="006D0985" w:rsidRPr="00CC7B55">
        <w:rPr>
          <w:rFonts w:ascii="Arial" w:hAnsi="Arial" w:cs="Arial"/>
          <w:noProof w:val="0"/>
          <w:sz w:val="20"/>
          <w:szCs w:val="20"/>
          <w:lang w:val="fr-FR"/>
        </w:rPr>
        <w:t> </w:t>
      </w:r>
      <w:r w:rsidR="00E33EA8" w:rsidRPr="00CC7B55">
        <w:rPr>
          <w:rFonts w:ascii="Arial" w:hAnsi="Arial" w:cs="Arial"/>
          <w:noProof w:val="0"/>
          <w:sz w:val="20"/>
          <w:szCs w:val="20"/>
          <w:lang w:val="fr-FR"/>
        </w:rPr>
        <w:t>11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août 2015, la MRC des Chenaux a conclu une entente avec le ministre des Affaires municipales et de l’Occupation du territoire </w:t>
      </w:r>
      <w:r w:rsidR="007773B1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qui 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lui </w:t>
      </w:r>
      <w:r w:rsidR="00091500" w:rsidRPr="00CC7B55">
        <w:rPr>
          <w:rFonts w:ascii="Arial" w:hAnsi="Arial" w:cs="Arial"/>
          <w:noProof w:val="0"/>
          <w:sz w:val="20"/>
          <w:szCs w:val="20"/>
          <w:lang w:val="fr-FR"/>
        </w:rPr>
        <w:t>délègue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la gestion du 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nouveau </w:t>
      </w:r>
      <w:r w:rsidRPr="00CC7B55">
        <w:rPr>
          <w:rFonts w:ascii="Arial" w:hAnsi="Arial" w:cs="Arial"/>
          <w:i/>
          <w:iCs/>
          <w:noProof w:val="0"/>
          <w:sz w:val="20"/>
          <w:szCs w:val="20"/>
          <w:lang w:val="fr-FR"/>
        </w:rPr>
        <w:t xml:space="preserve">Fonds de développement des territoires 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(FDT). 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Celui-ci résulte 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>de la fusion de quatre programmes d’aide financière antérieurs dont disposait déjà la MRC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. Il remplace ainsi le financement qui était auparavant </w:t>
      </w:r>
      <w:r w:rsidR="001074EC" w:rsidRPr="00CC7B55">
        <w:rPr>
          <w:rFonts w:ascii="Arial" w:hAnsi="Arial" w:cs="Arial"/>
          <w:noProof w:val="0"/>
          <w:sz w:val="20"/>
          <w:szCs w:val="20"/>
          <w:lang w:val="fr-FR"/>
        </w:rPr>
        <w:t>accordé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</w:t>
      </w:r>
      <w:r w:rsidR="007773B1" w:rsidRPr="00CC7B55">
        <w:rPr>
          <w:rFonts w:ascii="Arial" w:hAnsi="Arial" w:cs="Arial"/>
          <w:noProof w:val="0"/>
          <w:sz w:val="20"/>
          <w:szCs w:val="20"/>
          <w:lang w:val="fr-FR"/>
        </w:rPr>
        <w:t>pour l’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aménagement, </w:t>
      </w:r>
      <w:r w:rsidR="007773B1" w:rsidRPr="00CC7B55">
        <w:rPr>
          <w:rFonts w:ascii="Arial" w:hAnsi="Arial" w:cs="Arial"/>
          <w:noProof w:val="0"/>
          <w:sz w:val="20"/>
          <w:szCs w:val="20"/>
          <w:lang w:val="fr-FR"/>
        </w:rPr>
        <w:t>le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développement local et </w:t>
      </w:r>
      <w:r w:rsidR="007773B1" w:rsidRPr="00CC7B55">
        <w:rPr>
          <w:rFonts w:ascii="Arial" w:hAnsi="Arial" w:cs="Arial"/>
          <w:noProof w:val="0"/>
          <w:sz w:val="20"/>
          <w:szCs w:val="20"/>
          <w:lang w:val="fr-FR"/>
        </w:rPr>
        <w:t>l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e soutien à l’entrepreneuriat, </w:t>
      </w:r>
      <w:r w:rsidR="007773B1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le 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développement rural </w:t>
      </w:r>
      <w:r w:rsidR="00091500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ainsi que </w:t>
      </w:r>
      <w:r w:rsidR="00A551DF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l’aide qui était accordée aux Conférences régionales des élus (CRÉ) (maintenant dissoutes) pour le développement régional. </w:t>
      </w:r>
    </w:p>
    <w:p w14:paraId="4C0EFF23" w14:textId="521B8CA7" w:rsidR="0098481A" w:rsidRPr="00CC7B55" w:rsidRDefault="0098481A" w:rsidP="0009150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>Pour la période du 1</w:t>
      </w:r>
      <w:r w:rsidRPr="00CC7B55">
        <w:rPr>
          <w:rFonts w:ascii="Arial" w:hAnsi="Arial" w:cs="Arial"/>
          <w:noProof w:val="0"/>
          <w:position w:val="13"/>
          <w:sz w:val="20"/>
          <w:szCs w:val="20"/>
          <w:lang w:val="fr-FR"/>
        </w:rPr>
        <w:t xml:space="preserve">er </w:t>
      </w:r>
      <w:r w:rsidR="00527069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avril 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>201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8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au 31 mars 201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9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>, l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a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ministre a délégué à la MRC de</w:t>
      </w:r>
      <w:r w:rsidR="006D0985" w:rsidRPr="00CC7B55">
        <w:rPr>
          <w:rFonts w:ascii="Arial" w:hAnsi="Arial" w:cs="Arial"/>
          <w:noProof w:val="0"/>
          <w:sz w:val="20"/>
          <w:szCs w:val="20"/>
          <w:lang w:val="fr-FR"/>
        </w:rPr>
        <w:t>s Chenaux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la gestion d’une somme de 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830 087</w:t>
      </w:r>
      <w:r w:rsidR="001074EC" w:rsidRPr="00CC7B55">
        <w:rPr>
          <w:rFonts w:ascii="Arial" w:hAnsi="Arial" w:cs="Arial"/>
          <w:noProof w:val="0"/>
          <w:sz w:val="20"/>
          <w:szCs w:val="20"/>
          <w:lang w:val="fr-FR"/>
        </w:rPr>
        <w:t> 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>$ pour réaliser des mesures portant notamment sur les objets suivants</w:t>
      </w:r>
      <w:r w:rsidR="001074EC" w:rsidRPr="00CC7B55">
        <w:rPr>
          <w:rFonts w:ascii="Arial" w:hAnsi="Arial" w:cs="Arial"/>
          <w:noProof w:val="0"/>
          <w:sz w:val="20"/>
          <w:szCs w:val="20"/>
          <w:lang w:val="fr-FR"/>
        </w:rPr>
        <w:t> :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</w:t>
      </w:r>
    </w:p>
    <w:p w14:paraId="765EC48B" w14:textId="2E738712" w:rsidR="0098481A" w:rsidRPr="00CC7B55" w:rsidRDefault="0098481A" w:rsidP="0009150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La réalisation des mandats de la MRC au regard de la planification de l’aménagement et du développement de son </w:t>
      </w:r>
      <w:r w:rsidR="00947F22" w:rsidRPr="00CC7B55">
        <w:rPr>
          <w:rFonts w:ascii="Arial" w:hAnsi="Arial" w:cs="Arial"/>
          <w:noProof w:val="0"/>
          <w:sz w:val="20"/>
          <w:szCs w:val="20"/>
          <w:lang w:val="fr-FR"/>
        </w:rPr>
        <w:t>territoire ;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</w:t>
      </w:r>
    </w:p>
    <w:p w14:paraId="2CA6F8BD" w14:textId="71EC14F8" w:rsidR="0098481A" w:rsidRPr="00CC7B55" w:rsidRDefault="0098481A" w:rsidP="0009150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Le soutien aux municipalités locales en expertise professionnelle ou pour établir des partages de </w:t>
      </w:r>
      <w:r w:rsidR="00947F22" w:rsidRPr="00CC7B55">
        <w:rPr>
          <w:rFonts w:ascii="Arial" w:hAnsi="Arial" w:cs="Arial"/>
          <w:noProof w:val="0"/>
          <w:sz w:val="20"/>
          <w:szCs w:val="20"/>
          <w:lang w:val="fr-FR"/>
        </w:rPr>
        <w:t>services ;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</w:t>
      </w:r>
    </w:p>
    <w:p w14:paraId="1CA14866" w14:textId="08ED6096" w:rsidR="0098481A" w:rsidRPr="00CC7B55" w:rsidRDefault="0098481A" w:rsidP="0009150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La promotion de l’entrepreneuriat et le soutien à l’entrepreneuriat et à </w:t>
      </w:r>
      <w:r w:rsidR="00947F22" w:rsidRPr="00CC7B55">
        <w:rPr>
          <w:rFonts w:ascii="Arial" w:hAnsi="Arial" w:cs="Arial"/>
          <w:noProof w:val="0"/>
          <w:sz w:val="20"/>
          <w:szCs w:val="20"/>
          <w:lang w:val="fr-FR"/>
        </w:rPr>
        <w:t>l’entreprise ;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</w:t>
      </w:r>
    </w:p>
    <w:p w14:paraId="72632D72" w14:textId="159F22F3" w:rsidR="0098481A" w:rsidRPr="00CC7B55" w:rsidRDefault="0098481A" w:rsidP="0009150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La mobilisation des communautés et le soutien à la réalisation de projets structurants pour améliorer les milieux de vie, notamment dans les domaines social, culturel, économique et </w:t>
      </w:r>
      <w:r w:rsidR="00403266">
        <w:rPr>
          <w:rFonts w:ascii="Arial" w:hAnsi="Arial" w:cs="Arial"/>
          <w:noProof w:val="0"/>
          <w:sz w:val="20"/>
          <w:szCs w:val="20"/>
          <w:lang w:val="fr-FR"/>
        </w:rPr>
        <w:t>e</w:t>
      </w:r>
      <w:r w:rsidR="00403266" w:rsidRPr="00CC7B55">
        <w:rPr>
          <w:rFonts w:ascii="Arial" w:hAnsi="Arial" w:cs="Arial"/>
          <w:noProof w:val="0"/>
          <w:sz w:val="20"/>
          <w:szCs w:val="20"/>
          <w:lang w:val="fr-FR"/>
        </w:rPr>
        <w:t>nvironnemental</w:t>
      </w:r>
      <w:r w:rsidR="00947F22"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;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</w:t>
      </w:r>
    </w:p>
    <w:p w14:paraId="61D357B0" w14:textId="150C908F" w:rsidR="0098481A" w:rsidRPr="00CC7B55" w:rsidRDefault="0098481A" w:rsidP="0009150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L’établissement, le financement et la mise en œuvre d’ententes sectorielles de développement local et régional (équivalent aux anciennes ententes spécifiques de la CRÉ) avec des ministères ou des organismes du </w:t>
      </w:r>
      <w:r w:rsidR="00403266" w:rsidRPr="00CC7B55">
        <w:rPr>
          <w:rFonts w:ascii="Arial" w:hAnsi="Arial" w:cs="Arial"/>
          <w:noProof w:val="0"/>
          <w:sz w:val="20"/>
          <w:szCs w:val="20"/>
          <w:lang w:val="fr-FR"/>
        </w:rPr>
        <w:t>gouvernement ;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 </w:t>
      </w:r>
    </w:p>
    <w:p w14:paraId="7748777C" w14:textId="1E126DFB" w:rsidR="00200813" w:rsidRPr="00CC7B55" w:rsidRDefault="0098481A" w:rsidP="0009150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Le soutien au développement rural (dans le territoire défini par la MRC). </w:t>
      </w:r>
    </w:p>
    <w:p w14:paraId="6FBE927E" w14:textId="4411FA38" w:rsidR="006A7115" w:rsidRPr="00CC7B55" w:rsidRDefault="0098481A" w:rsidP="006A71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Le présent rapport vise à présenter les activités réalisées grâce à ce soutien financier pour la période visée. </w:t>
      </w:r>
    </w:p>
    <w:p w14:paraId="09E05787" w14:textId="6B39C5C1" w:rsidR="009D7418" w:rsidRDefault="009D7418" w:rsidP="00CC7B55">
      <w:pPr>
        <w:pStyle w:val="Titre1"/>
      </w:pPr>
      <w:r w:rsidRPr="00225EDD">
        <w:t>BILAN</w:t>
      </w:r>
    </w:p>
    <w:p w14:paraId="225D4110" w14:textId="77777777" w:rsidR="009A75DF" w:rsidRPr="009A75DF" w:rsidRDefault="009A75DF" w:rsidP="00091500">
      <w:pPr>
        <w:jc w:val="both"/>
      </w:pPr>
    </w:p>
    <w:p w14:paraId="5C201FF7" w14:textId="46012328" w:rsidR="009D7418" w:rsidRPr="00CC7B55" w:rsidRDefault="009D7418" w:rsidP="0009150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Une enveloppe budgétaire de 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830 087</w:t>
      </w:r>
      <w:r w:rsidR="001074EC" w:rsidRPr="00CC7B55">
        <w:rPr>
          <w:rFonts w:ascii="Arial" w:hAnsi="Arial" w:cs="Arial"/>
          <w:noProof w:val="0"/>
          <w:sz w:val="20"/>
          <w:szCs w:val="20"/>
          <w:lang w:val="fr-FR"/>
        </w:rPr>
        <w:t> 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>$ est allouée à la MRC pour l’année 201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8</w:t>
      </w:r>
      <w:r w:rsidR="00423D1C" w:rsidRPr="00CC7B55">
        <w:rPr>
          <w:rFonts w:ascii="Arial" w:hAnsi="Arial" w:cs="Arial"/>
          <w:noProof w:val="0"/>
          <w:sz w:val="20"/>
          <w:szCs w:val="20"/>
          <w:lang w:val="fr-FR"/>
        </w:rPr>
        <w:t>-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>201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9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 xml:space="preserve">. </w:t>
      </w:r>
    </w:p>
    <w:p w14:paraId="3ECEC4D7" w14:textId="42F7BE14" w:rsidR="00D83511" w:rsidRPr="00CC7B55" w:rsidRDefault="009D7418" w:rsidP="0009150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  <w:r w:rsidRPr="00CC7B55">
        <w:rPr>
          <w:rFonts w:ascii="Arial" w:hAnsi="Arial" w:cs="Arial"/>
          <w:noProof w:val="0"/>
          <w:sz w:val="20"/>
          <w:szCs w:val="20"/>
          <w:lang w:val="fr-FR"/>
        </w:rPr>
        <w:t>Voici le bilan financier pour l’année 201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8</w:t>
      </w:r>
      <w:r w:rsidRPr="00CC7B55">
        <w:rPr>
          <w:rFonts w:ascii="Arial" w:hAnsi="Arial" w:cs="Arial"/>
          <w:noProof w:val="0"/>
          <w:sz w:val="20"/>
          <w:szCs w:val="20"/>
          <w:lang w:val="fr-FR"/>
        </w:rPr>
        <w:t>-201</w:t>
      </w:r>
      <w:r w:rsidR="003A5EAB">
        <w:rPr>
          <w:rFonts w:ascii="Arial" w:hAnsi="Arial" w:cs="Arial"/>
          <w:noProof w:val="0"/>
          <w:sz w:val="20"/>
          <w:szCs w:val="20"/>
          <w:lang w:val="fr-FR"/>
        </w:rPr>
        <w:t>9</w:t>
      </w:r>
      <w:r w:rsidR="001074EC" w:rsidRPr="00CC7B55">
        <w:rPr>
          <w:rFonts w:ascii="Arial" w:hAnsi="Arial" w:cs="Arial"/>
          <w:noProof w:val="0"/>
          <w:sz w:val="20"/>
          <w:szCs w:val="20"/>
          <w:lang w:val="fr-FR"/>
        </w:rPr>
        <w:t> :</w:t>
      </w:r>
    </w:p>
    <w:tbl>
      <w:tblPr>
        <w:tblW w:w="9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1913"/>
        <w:gridCol w:w="2014"/>
        <w:gridCol w:w="2181"/>
        <w:gridCol w:w="2053"/>
      </w:tblGrid>
      <w:tr w:rsidR="006475A8" w:rsidRPr="00CC7B55" w14:paraId="6FC16833" w14:textId="77777777" w:rsidTr="003D1BA4">
        <w:trPr>
          <w:trHeight w:val="168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  <w:hideMark/>
          </w:tcPr>
          <w:p w14:paraId="73B71E85" w14:textId="77777777" w:rsidR="006475A8" w:rsidRPr="006475A8" w:rsidRDefault="006475A8" w:rsidP="00CC7B55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Sommes</w:t>
            </w:r>
            <w:r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br/>
              <w:t xml:space="preserve">reçues par le </w:t>
            </w:r>
            <w:r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br/>
              <w:t>MAMOT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  <w:hideMark/>
          </w:tcPr>
          <w:p w14:paraId="443C3DAB" w14:textId="77777777" w:rsidR="006475A8" w:rsidRPr="006475A8" w:rsidRDefault="006475A8" w:rsidP="00CC7B55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Enveloppe</w:t>
            </w:r>
            <w:r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br/>
              <w:t>totale FDT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60847B" w14:textId="51B061C1" w:rsidR="006475A8" w:rsidRPr="006475A8" w:rsidRDefault="006475A8" w:rsidP="00CC7B55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475A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Sommes non engagées de l’année précédente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FC7EE9" w14:textId="08A98892" w:rsidR="006475A8" w:rsidRPr="006475A8" w:rsidRDefault="006475A8" w:rsidP="00CC7B55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475A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Sommes disponibles pour nouveaux engagements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51732" w14:textId="1701BEAC" w:rsidR="006475A8" w:rsidRPr="006475A8" w:rsidRDefault="006475A8" w:rsidP="00CC7B55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475A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Sommes engagées en cours d’année</w:t>
            </w:r>
          </w:p>
        </w:tc>
      </w:tr>
      <w:tr w:rsidR="00B86560" w:rsidRPr="00CC7B55" w14:paraId="23A78D70" w14:textId="77777777" w:rsidTr="003D1BA4">
        <w:trPr>
          <w:trHeight w:val="546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760AA" w14:textId="7D1053EB" w:rsidR="00B86560" w:rsidRPr="006475A8" w:rsidRDefault="003A5EAB" w:rsidP="00B86560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830</w:t>
            </w:r>
            <w:r w:rsidR="00B86560"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087</w:t>
            </w:r>
            <w:r w:rsidR="00B86560"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,00 $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3D663" w14:textId="72B13AD1" w:rsidR="00B86560" w:rsidRPr="006475A8" w:rsidRDefault="003A5EAB" w:rsidP="00B86560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830</w:t>
            </w:r>
            <w:r w:rsidR="00B86560"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087</w:t>
            </w:r>
            <w:r w:rsidR="00B86560"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,00 $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06074" w14:textId="20A92B14" w:rsidR="00B86560" w:rsidRPr="006475A8" w:rsidRDefault="007C542D" w:rsidP="00B86560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721 369</w:t>
            </w:r>
            <w:r w:rsidR="00D02569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,59</w:t>
            </w:r>
            <w:r w:rsidR="00B86560"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 $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3DD88E" w14:textId="162BA5B7" w:rsidR="00B86560" w:rsidRPr="006475A8" w:rsidRDefault="00B86560" w:rsidP="00B86560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1</w:t>
            </w:r>
            <w:r w:rsidR="00D51A26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 </w:t>
            </w:r>
            <w:r w:rsidR="007C542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5</w:t>
            </w:r>
            <w:r w:rsidR="009E79BE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5</w:t>
            </w:r>
            <w:r w:rsidR="00D51A26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1 </w:t>
            </w:r>
            <w:r w:rsidR="007C542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456</w:t>
            </w:r>
            <w:r w:rsidR="00D51A26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,</w:t>
            </w:r>
            <w:r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59 $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47E5E" w14:textId="2C7E3931" w:rsidR="00B86560" w:rsidRPr="006475A8" w:rsidRDefault="00DF6E92" w:rsidP="00B86560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1</w:t>
            </w:r>
            <w:r w:rsidR="007C542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 200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3</w:t>
            </w:r>
            <w:r w:rsidR="007C542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83</w:t>
            </w:r>
            <w:r w:rsidR="00B86560" w:rsidRPr="006475A8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,00 $</w:t>
            </w:r>
          </w:p>
        </w:tc>
      </w:tr>
    </w:tbl>
    <w:p w14:paraId="72E97136" w14:textId="77777777" w:rsidR="00704936" w:rsidRPr="00CC7B55" w:rsidRDefault="00704936" w:rsidP="0070493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0"/>
          <w:szCs w:val="20"/>
          <w:lang w:val="fr-FR"/>
        </w:rPr>
      </w:pPr>
    </w:p>
    <w:p w14:paraId="2E95803A" w14:textId="77777777" w:rsidR="00957FF7" w:rsidRDefault="00957FF7" w:rsidP="0070493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sz w:val="22"/>
          <w:szCs w:val="22"/>
          <w:lang w:val="fr-FR"/>
        </w:rPr>
      </w:pPr>
    </w:p>
    <w:p w14:paraId="602DE965" w14:textId="1DC0A1B4" w:rsidR="003842CE" w:rsidRDefault="00957FF7" w:rsidP="00CC7B55">
      <w:pPr>
        <w:pStyle w:val="Titre1"/>
      </w:pPr>
      <w:r>
        <w:rPr>
          <w:noProof w:val="0"/>
          <w:sz w:val="22"/>
          <w:szCs w:val="22"/>
          <w:lang w:val="fr-FR"/>
        </w:rPr>
        <w:br w:type="page"/>
      </w:r>
      <w:r w:rsidR="004721A0">
        <w:lastRenderedPageBreak/>
        <w:t>PRIORITÉS D’INTERVENTION</w:t>
      </w:r>
    </w:p>
    <w:p w14:paraId="1F8454C4" w14:textId="77777777" w:rsidR="00A70A81" w:rsidRDefault="00A70A81" w:rsidP="00091500">
      <w:pPr>
        <w:jc w:val="both"/>
        <w:rPr>
          <w:rFonts w:ascii="Arial" w:hAnsi="Arial" w:cs="Arial"/>
        </w:rPr>
      </w:pPr>
    </w:p>
    <w:p w14:paraId="35CFB57B" w14:textId="1660B41A" w:rsidR="004721A0" w:rsidRDefault="00CE574C" w:rsidP="008C2539">
      <w:pPr>
        <w:jc w:val="both"/>
        <w:rPr>
          <w:rFonts w:ascii="Arial" w:hAnsi="Arial" w:cs="Arial"/>
          <w:sz w:val="22"/>
          <w:szCs w:val="22"/>
        </w:rPr>
      </w:pPr>
      <w:r w:rsidRPr="00787616">
        <w:rPr>
          <w:rFonts w:ascii="Arial" w:hAnsi="Arial" w:cs="Arial"/>
          <w:sz w:val="22"/>
          <w:szCs w:val="22"/>
        </w:rPr>
        <w:t xml:space="preserve">La </w:t>
      </w:r>
      <w:r w:rsidR="008D5778" w:rsidRPr="00787616">
        <w:rPr>
          <w:rFonts w:ascii="Arial" w:hAnsi="Arial" w:cs="Arial"/>
          <w:sz w:val="22"/>
          <w:szCs w:val="22"/>
        </w:rPr>
        <w:t xml:space="preserve">MRC a adopté </w:t>
      </w:r>
      <w:r w:rsidR="00FC64DC">
        <w:rPr>
          <w:rFonts w:ascii="Arial" w:hAnsi="Arial" w:cs="Arial"/>
          <w:sz w:val="22"/>
          <w:szCs w:val="22"/>
        </w:rPr>
        <w:t>2</w:t>
      </w:r>
      <w:r w:rsidR="001B79EB">
        <w:rPr>
          <w:rFonts w:ascii="Arial" w:hAnsi="Arial" w:cs="Arial"/>
          <w:sz w:val="22"/>
          <w:szCs w:val="22"/>
        </w:rPr>
        <w:t>4</w:t>
      </w:r>
      <w:r w:rsidR="00244741" w:rsidRPr="00787616">
        <w:rPr>
          <w:rFonts w:ascii="Arial" w:hAnsi="Arial" w:cs="Arial"/>
          <w:sz w:val="22"/>
          <w:szCs w:val="22"/>
        </w:rPr>
        <w:t xml:space="preserve"> priorités d’intervention en lien avec les mesures de développement local et régional qu’elle a prises</w:t>
      </w:r>
      <w:r w:rsidR="001074EC">
        <w:rPr>
          <w:rFonts w:ascii="Arial" w:hAnsi="Arial" w:cs="Arial"/>
          <w:sz w:val="22"/>
          <w:szCs w:val="22"/>
        </w:rPr>
        <w:t> :</w:t>
      </w:r>
      <w:r w:rsidRPr="00787616">
        <w:rPr>
          <w:rFonts w:ascii="Arial" w:hAnsi="Arial" w:cs="Arial"/>
          <w:sz w:val="22"/>
          <w:szCs w:val="22"/>
        </w:rPr>
        <w:t xml:space="preserve"> </w:t>
      </w:r>
    </w:p>
    <w:p w14:paraId="31315EA2" w14:textId="77777777" w:rsidR="00B96526" w:rsidRDefault="00B96526" w:rsidP="008C2539">
      <w:pPr>
        <w:jc w:val="both"/>
        <w:rPr>
          <w:rFonts w:ascii="Arial" w:hAnsi="Arial" w:cs="Arial"/>
          <w:sz w:val="22"/>
          <w:szCs w:val="22"/>
        </w:rPr>
      </w:pPr>
    </w:p>
    <w:p w14:paraId="4E0831C9" w14:textId="77777777" w:rsidR="00B96526" w:rsidRDefault="00B96526" w:rsidP="008C2539">
      <w:pPr>
        <w:jc w:val="both"/>
        <w:rPr>
          <w:rFonts w:ascii="Arial" w:hAnsi="Arial" w:cs="Arial"/>
          <w:sz w:val="22"/>
          <w:szCs w:val="22"/>
        </w:rPr>
      </w:pPr>
    </w:p>
    <w:p w14:paraId="2B6ACA0E" w14:textId="40BBD414" w:rsidR="00B96526" w:rsidRPr="00832492" w:rsidRDefault="00102FE9" w:rsidP="008C2539">
      <w:pPr>
        <w:jc w:val="both"/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AD4BB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MRC des Chenaux - Priorité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s</w:t>
      </w:r>
      <w:r w:rsidRPr="00AD4BB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d'intervention du FDT pour 201</w:t>
      </w:r>
      <w:r w:rsidR="005A1F8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8</w:t>
      </w:r>
      <w:r w:rsidRPr="00AD4BB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-201</w:t>
      </w:r>
      <w:r w:rsidR="005A1F8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9</w:t>
      </w:r>
    </w:p>
    <w:tbl>
      <w:tblPr>
        <w:tblW w:w="104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4043"/>
        <w:gridCol w:w="2829"/>
      </w:tblGrid>
      <w:tr w:rsidR="00681834" w:rsidRPr="00832492" w14:paraId="6A280D64" w14:textId="77777777" w:rsidTr="00785CF8">
        <w:trPr>
          <w:trHeight w:val="320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4A1F8" w14:textId="77777777" w:rsidR="00FC64DC" w:rsidRPr="00832492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66104" w14:textId="77777777" w:rsidR="00FC64DC" w:rsidRPr="00832492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9998" w14:textId="77777777" w:rsidR="00FC64DC" w:rsidRPr="00832492" w:rsidRDefault="00FC64DC" w:rsidP="0096418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5061B" w14:textId="77777777" w:rsidR="00FC64DC" w:rsidRPr="00832492" w:rsidRDefault="00FC64DC" w:rsidP="0096418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16BF5" w:rsidRPr="00EF3050" w14:paraId="506118DB" w14:textId="77777777" w:rsidTr="00E624AE">
        <w:trPr>
          <w:trHeight w:val="82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9693C7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F3050">
              <w:rPr>
                <w:rFonts w:ascii="Arial" w:hAnsi="Arial" w:cs="Arial"/>
                <w:b/>
                <w:sz w:val="22"/>
                <w:szCs w:val="22"/>
              </w:rPr>
              <w:t>Mesures de développement local et régional prises par la MRC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4AFFE61" w14:textId="50C93634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F3050">
              <w:rPr>
                <w:rFonts w:ascii="Arial" w:eastAsia="Times New Roman" w:hAnsi="Arial" w:cs="Arial"/>
                <w:b/>
                <w:sz w:val="22"/>
                <w:szCs w:val="22"/>
              </w:rPr>
              <w:t>Priorité</w:t>
            </w:r>
            <w:r w:rsidR="00D212E3">
              <w:rPr>
                <w:rFonts w:ascii="Arial" w:eastAsia="Times New Roman" w:hAnsi="Arial" w:cs="Arial"/>
                <w:b/>
                <w:sz w:val="22"/>
                <w:szCs w:val="22"/>
              </w:rPr>
              <w:t>s</w:t>
            </w:r>
            <w:r w:rsidRPr="00EF305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d’intervention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E94D8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F3050">
              <w:rPr>
                <w:rFonts w:ascii="Arial" w:eastAsia="Times New Roman" w:hAnsi="Arial" w:cs="Arial"/>
                <w:b/>
                <w:sz w:val="22"/>
                <w:szCs w:val="22"/>
              </w:rPr>
              <w:t>Secteurs ou clientèles</w:t>
            </w:r>
          </w:p>
        </w:tc>
      </w:tr>
      <w:tr w:rsidR="00716BF5" w:rsidRPr="00EF3050" w14:paraId="777F40B2" w14:textId="77777777" w:rsidTr="00785CF8">
        <w:trPr>
          <w:trHeight w:val="1064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38036319" w14:textId="77777777" w:rsidR="00FC64DC" w:rsidRPr="00EF3050" w:rsidRDefault="00FC64DC" w:rsidP="0096418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F3050">
              <w:rPr>
                <w:rFonts w:ascii="Arial" w:hAnsi="Arial" w:cs="Arial"/>
                <w:sz w:val="20"/>
                <w:szCs w:val="20"/>
                <w:lang w:val="fr-FR"/>
              </w:rPr>
              <w:t xml:space="preserve">La réalisation de ses mandats </w:t>
            </w:r>
          </w:p>
          <w:p w14:paraId="74FD923E" w14:textId="77777777" w:rsidR="00FC64DC" w:rsidRPr="00EF3050" w:rsidRDefault="00FC64DC" w:rsidP="00964185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</w:rPr>
            </w:pPr>
            <w:r w:rsidRPr="00EF3050">
              <w:rPr>
                <w:rFonts w:ascii="Arial" w:hAnsi="Arial" w:cs="Arial"/>
                <w:sz w:val="20"/>
                <w:szCs w:val="20"/>
                <w:lang w:val="fr-FR"/>
              </w:rPr>
              <w:t>au regard de la planification de l’aménagement et du développement du territoire.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EE03E66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C69BDB" w14:textId="7E47D590" w:rsidR="00FC64DC" w:rsidRPr="00EF3050" w:rsidRDefault="00FC64DC" w:rsidP="00D80E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Élaborer et mettre en oeuvre une planification stratégique de développement durable</w:t>
            </w:r>
            <w:r w:rsidR="00D80E22" w:rsidRPr="00EF305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incluant un plan d’action ;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56015E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Environnement et développement durable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  <w:tr w:rsidR="00716BF5" w:rsidRPr="00EF3050" w14:paraId="30CBCAFA" w14:textId="77777777" w:rsidTr="00785CF8">
        <w:trPr>
          <w:trHeight w:val="771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67E1ECCA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6145F299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378C307" w14:textId="03A897C4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Mettre en œuvre des éléments du plan d'action du Plan de développement de la zone agricole (PDZA)</w:t>
            </w:r>
            <w:r w:rsidR="00184739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DECF83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Bioalimentaire</w:t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  <w:t>Aménagement du territoire</w:t>
            </w:r>
          </w:p>
        </w:tc>
      </w:tr>
      <w:tr w:rsidR="00716BF5" w:rsidRPr="00EF3050" w14:paraId="5AFDAC10" w14:textId="77777777" w:rsidTr="00785CF8">
        <w:trPr>
          <w:trHeight w:val="966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1536B25D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6E654F95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FAAF101" w14:textId="75D2F8EA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Mettre à jour le système d’information géographique (SIG) de la MRC</w:t>
            </w:r>
            <w:r w:rsidR="00184739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EC802B" w14:textId="77777777" w:rsidR="00FC64DC" w:rsidRPr="00EF3050" w:rsidRDefault="00FC64DC" w:rsidP="00716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Technologie d'information et de communication</w:t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  <w:t>Aménagement du territoire</w:t>
            </w:r>
          </w:p>
        </w:tc>
      </w:tr>
      <w:tr w:rsidR="00716BF5" w:rsidRPr="00EF3050" w14:paraId="3C907773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50BED5BA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441A1A56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8711FF2" w14:textId="39A42A7C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Amorcer la révision du Schéma d’aménagement et de développement</w:t>
            </w:r>
            <w:r w:rsidR="00184739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E3646C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Aménagement du territoire</w:t>
            </w:r>
          </w:p>
        </w:tc>
      </w:tr>
      <w:tr w:rsidR="00716BF5" w:rsidRPr="00EF3050" w14:paraId="15E212BD" w14:textId="77777777" w:rsidTr="00785CF8">
        <w:trPr>
          <w:trHeight w:val="120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0D43460E" w14:textId="77777777" w:rsidR="00FC64DC" w:rsidRPr="00EF3050" w:rsidRDefault="00FC64DC" w:rsidP="009641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hAnsi="Arial" w:cs="Arial"/>
                <w:sz w:val="20"/>
                <w:szCs w:val="20"/>
                <w:lang w:val="fr-FR"/>
              </w:rPr>
              <w:t>Le soutien aux municipalités locales en expertise professionnelle ou pour établir des partages de services (domaine social, culturel, touristique, environnemental, technologique ou autre).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68E3414E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4D2C58" w14:textId="69FEAC1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En matière de sécurité incendie, poursuivre la mise en œuvre des plans d’action de la MRC et des municipalités locales émanant du Schéma de couverture de risques en incendie</w:t>
            </w:r>
            <w:r w:rsidR="00184739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AB1219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Aménagement du territoire</w:t>
            </w:r>
          </w:p>
        </w:tc>
      </w:tr>
      <w:tr w:rsidR="00716BF5" w:rsidRPr="00EF3050" w14:paraId="437B25C6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1CF5A558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16D4DBCA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F009E69" w14:textId="6A1CCE69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Maintenir les interventions courantes avec les intervenants locaux et régionaux dans le domaine de la culture</w:t>
            </w:r>
            <w:r w:rsidR="00184739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CA0DAA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Culture et patrimoine</w:t>
            </w:r>
          </w:p>
        </w:tc>
      </w:tr>
      <w:tr w:rsidR="00716BF5" w:rsidRPr="00EF3050" w14:paraId="22BCCB37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6664EFCC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49506144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BB046B8" w14:textId="786DDE45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Assurer un soutien et un accompagnement par l’agent de développement du territoire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95D298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économique et des affaires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  <w:tr w:rsidR="00716BF5" w:rsidRPr="00EF3050" w14:paraId="244D82A8" w14:textId="77777777" w:rsidTr="00785CF8">
        <w:trPr>
          <w:trHeight w:val="60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3FCCC716" w14:textId="77777777" w:rsidR="00FC64DC" w:rsidRPr="00EF3050" w:rsidRDefault="00FC64DC" w:rsidP="009641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hAnsi="Arial" w:cs="Arial"/>
                <w:sz w:val="20"/>
                <w:szCs w:val="20"/>
                <w:lang w:val="fr-FR"/>
              </w:rPr>
              <w:t>La promotion de l’entrepreneuriat, le soutien à l’entrepreneuriat et à l’entreprise.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2DFE631F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32D64B8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Maintenir nos politiques de soutien aux entreprises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7DB31F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économique et des affaires</w:t>
            </w:r>
          </w:p>
        </w:tc>
      </w:tr>
      <w:tr w:rsidR="00716BF5" w:rsidRPr="00EF3050" w14:paraId="24E82D61" w14:textId="77777777" w:rsidTr="00785CF8">
        <w:trPr>
          <w:trHeight w:val="6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4C9A2B11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51730251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42CC0C8" w14:textId="29F50882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Soutenir les investissements et la création d’emplois dans la MRC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EC8CF4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économique et des affaires</w:t>
            </w:r>
          </w:p>
        </w:tc>
      </w:tr>
      <w:tr w:rsidR="00716BF5" w:rsidRPr="00EF3050" w14:paraId="5D7FAEDE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7A21B9AD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7ADD2113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04AC03B" w14:textId="38543E6A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Promouvoir l’entrepreneuriat pour assurer l’avenir économique de la MRC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BD4152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économique et des affaires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  <w:tr w:rsidR="00716BF5" w:rsidRPr="00EF3050" w14:paraId="05D9953C" w14:textId="77777777" w:rsidTr="00785CF8">
        <w:trPr>
          <w:trHeight w:val="843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066470D0" w14:textId="77777777" w:rsidR="00FC64DC" w:rsidRPr="00EF3050" w:rsidRDefault="00FC64DC" w:rsidP="009641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La mobilisation des communautés et le soutien à la réalisation de projets structurants pour améliorer les milieux de vie, notamment dans les domaines social, culturel, économique et environnemental.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5648A032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3686B1" w14:textId="12EB4486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Maintenir les enveloppes dédiées aux municipalités pour les projets loisir et culture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D9F6B0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  <w:tr w:rsidR="00716BF5" w:rsidRPr="00EF3050" w14:paraId="25F0B97E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073EC35E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0DD992D7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E30397" w14:textId="66B07E40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Maintenir l’enveloppe destinée aux projets spéciaux pour assurer le support au dynamisme local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0DAE9F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  <w:tr w:rsidR="00716BF5" w:rsidRPr="00EF3050" w14:paraId="40B0E128" w14:textId="77777777" w:rsidTr="00785CF8">
        <w:trPr>
          <w:trHeight w:val="60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1F08E54D" w14:textId="77777777" w:rsidR="00FC64DC" w:rsidRPr="00EF3050" w:rsidRDefault="00FC64DC" w:rsidP="009641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hAnsi="Arial" w:cs="Arial"/>
                <w:sz w:val="20"/>
                <w:szCs w:val="20"/>
                <w:lang w:val="fr-FR"/>
              </w:rPr>
              <w:t>L’établissement, le financement et la mise en œuvre d’ententes sectorielles de développement local et régional avec des ministères ou organismes du gouvernement.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3517C3C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817EBA7" w14:textId="1BE85896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Participer, en tant que fiduciaire, à une entente régionale en développement culturel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B8480D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Culture et patrimoine</w:t>
            </w:r>
          </w:p>
        </w:tc>
      </w:tr>
      <w:tr w:rsidR="00716BF5" w:rsidRPr="00EF3050" w14:paraId="3F354D6C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5CBA8B7A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7B85C040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52D5DE5" w14:textId="3B9B2538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Participer au nouveau programme d’aménagement durable des forêts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7803C4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Ressources naturelles</w:t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  <w:t>Environnement et développement durable</w:t>
            </w:r>
          </w:p>
        </w:tc>
      </w:tr>
      <w:tr w:rsidR="00716BF5" w:rsidRPr="00EF3050" w14:paraId="318AD13F" w14:textId="77777777" w:rsidTr="00785CF8">
        <w:trPr>
          <w:trHeight w:val="6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7AE7EC31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2E5D0A57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626CDE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Participer à l’entente de partenariat en matière de tourisme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F76281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Tourisme</w:t>
            </w:r>
          </w:p>
        </w:tc>
      </w:tr>
      <w:tr w:rsidR="00716BF5" w:rsidRPr="00EF3050" w14:paraId="021DBEFC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358A2452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0FA02DBE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077E3C" w14:textId="49EFAE0F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Participer au Plan de développement de l’agriculture et de l’agroalimentaire de la Mauricie (PDAAM)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827DB8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Environnement et développement durable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Bioalimentaire</w:t>
            </w:r>
          </w:p>
        </w:tc>
      </w:tr>
      <w:tr w:rsidR="00716BF5" w:rsidRPr="00EF3050" w14:paraId="754117CC" w14:textId="77777777" w:rsidTr="00785CF8">
        <w:trPr>
          <w:trHeight w:val="12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4A34736E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593D3168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B9D4996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Participer au financement de l’entente de partenariat territorial émanant du Conseil des arts et des lettres du Québec (CALQ) en lien avec la collectivité de la Mauricie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1CBB0F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Culture et patrimoine</w:t>
            </w:r>
          </w:p>
        </w:tc>
      </w:tr>
      <w:tr w:rsidR="00716BF5" w:rsidRPr="00EF3050" w14:paraId="34311216" w14:textId="77777777" w:rsidTr="00785CF8">
        <w:trPr>
          <w:trHeight w:val="6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5D3AD5EF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52E1029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32EC2AC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Participer au financement de l’Économie du savoir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EF08CA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économique et des affaires</w:t>
            </w:r>
          </w:p>
        </w:tc>
      </w:tr>
      <w:tr w:rsidR="00716BF5" w:rsidRPr="00EF3050" w14:paraId="13BA4615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598FB4A0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791147C5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6FB551E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Participer à l’entente sectorielle en développement social en Mauricie et à son financement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FD1FD1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Santé et services sociaux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  <w:tr w:rsidR="00716BF5" w:rsidRPr="00EF3050" w14:paraId="63295A0A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6C1F4D19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07DD9E23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086779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Participer à l’entente sectorielle de développement de l’économie sociale en Mauricie et à son financement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768717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économique et des affaires</w:t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PMingLiU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  <w:tr w:rsidR="00716BF5" w:rsidRPr="00EF3050" w14:paraId="3BD454BD" w14:textId="77777777" w:rsidTr="00785CF8">
        <w:trPr>
          <w:trHeight w:val="90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447025EC" w14:textId="77777777" w:rsidR="00FC64DC" w:rsidRPr="00EF3050" w:rsidRDefault="00FC64DC" w:rsidP="009641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hAnsi="Arial" w:cs="Arial"/>
                <w:sz w:val="20"/>
                <w:szCs w:val="20"/>
                <w:lang w:val="fr-FR"/>
              </w:rPr>
              <w:t>Le soutien au développement rural, dans le territoire rural défini à cette fin.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1D6BA4FB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5A4E748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Assurer le suivi des politiques culturelle et familiale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49948A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Familles</w:t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  <w:t>Culture et patrimoine</w:t>
            </w:r>
          </w:p>
        </w:tc>
      </w:tr>
      <w:tr w:rsidR="00716BF5" w:rsidRPr="00EF3050" w14:paraId="1BAE9A73" w14:textId="77777777" w:rsidTr="00785CF8">
        <w:trPr>
          <w:trHeight w:val="90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5BC3B1FF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7D906D95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C8E730" w14:textId="0AF551B1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Maintenir et améliorer de l’offre en transport des personnes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59F23B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Transport</w:t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F3050">
              <w:rPr>
                <w:rFonts w:ascii="Arial" w:eastAsia="Times New Roman" w:hAnsi="Arial" w:cs="Arial"/>
                <w:sz w:val="20"/>
                <w:szCs w:val="20"/>
              </w:rPr>
              <w:br/>
              <w:t>Développement des communautés</w:t>
            </w:r>
          </w:p>
        </w:tc>
      </w:tr>
      <w:tr w:rsidR="00716BF5" w:rsidRPr="00EF3050" w14:paraId="6B3B1CB5" w14:textId="77777777" w:rsidTr="00785CF8">
        <w:trPr>
          <w:trHeight w:val="600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</w:tcPr>
          <w:p w14:paraId="1467FF87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74C29809" w14:textId="77777777" w:rsidR="00FC64DC" w:rsidRPr="00EF3050" w:rsidRDefault="00FC64DC" w:rsidP="009641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84F81BC" w14:textId="20C60ADA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Maintenir le soutien aux projets à portée territoriale</w:t>
            </w:r>
            <w:r w:rsidR="00716BF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30FBDD" w14:textId="77777777" w:rsidR="00FC64DC" w:rsidRPr="00EF3050" w:rsidRDefault="00FC64DC" w:rsidP="009641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  <w:tr w:rsidR="006A00E2" w:rsidRPr="00EF3050" w14:paraId="5EA03222" w14:textId="77777777" w:rsidTr="00785CF8">
        <w:trPr>
          <w:trHeight w:val="600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67DA6DB0" w14:textId="77777777" w:rsidR="006A00E2" w:rsidRPr="00EF3050" w:rsidRDefault="006A00E2" w:rsidP="006A00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14:paraId="41AEF086" w14:textId="42FDB89A" w:rsidR="006A00E2" w:rsidRPr="00EF3050" w:rsidRDefault="006A00E2" w:rsidP="006A00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F4E1A9F" w14:textId="65D915D5" w:rsidR="006A00E2" w:rsidRPr="00EF3050" w:rsidRDefault="006A00E2" w:rsidP="006A00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A00E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Analyser la possibilité de desservir l’ensemble du territoire de la MRC par le service internet haute vitesse.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D772B8" w14:textId="0CB1DE87" w:rsidR="006A00E2" w:rsidRDefault="006A00E2" w:rsidP="006A0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B8E83A" w14:textId="7055C87C" w:rsidR="006A00E2" w:rsidRDefault="006A00E2" w:rsidP="006A00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A00E2">
              <w:rPr>
                <w:rFonts w:ascii="Arial" w:eastAsia="Times New Roman" w:hAnsi="Arial" w:cs="Arial"/>
                <w:sz w:val="20"/>
                <w:szCs w:val="20"/>
              </w:rPr>
              <w:t>Développement économique et des affaires</w:t>
            </w:r>
            <w:r w:rsidRPr="006A00E2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22602CB7" w14:textId="3358B232" w:rsidR="006A00E2" w:rsidRPr="00EF3050" w:rsidRDefault="006A00E2" w:rsidP="006A00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050">
              <w:rPr>
                <w:rFonts w:ascii="Arial" w:eastAsia="Times New Roman" w:hAnsi="Arial" w:cs="Arial"/>
                <w:sz w:val="20"/>
                <w:szCs w:val="20"/>
              </w:rPr>
              <w:t>Développement des communautés</w:t>
            </w:r>
          </w:p>
        </w:tc>
      </w:tr>
    </w:tbl>
    <w:p w14:paraId="05F6CA60" w14:textId="77777777" w:rsidR="00B96526" w:rsidRDefault="00B96526" w:rsidP="008C2539">
      <w:pPr>
        <w:jc w:val="both"/>
        <w:rPr>
          <w:rFonts w:ascii="Arial" w:hAnsi="Arial" w:cs="Arial"/>
          <w:sz w:val="22"/>
          <w:szCs w:val="22"/>
        </w:rPr>
      </w:pPr>
    </w:p>
    <w:p w14:paraId="51B35757" w14:textId="6867B435" w:rsidR="00082D66" w:rsidRPr="00787616" w:rsidRDefault="00082D66" w:rsidP="003A7CEB">
      <w:pPr>
        <w:jc w:val="both"/>
        <w:rPr>
          <w:rFonts w:ascii="Arial" w:hAnsi="Arial" w:cs="Arial"/>
          <w:sz w:val="22"/>
          <w:szCs w:val="22"/>
        </w:rPr>
      </w:pPr>
    </w:p>
    <w:p w14:paraId="15C68E54" w14:textId="77777777" w:rsidR="003A7CEB" w:rsidRDefault="003A7CEB" w:rsidP="003A7CEB">
      <w:pPr>
        <w:jc w:val="both"/>
        <w:sectPr w:rsidR="003A7CEB" w:rsidSect="00AF73D0">
          <w:footerReference w:type="even" r:id="rId9"/>
          <w:footerReference w:type="default" r:id="rId10"/>
          <w:pgSz w:w="12240" w:h="15840"/>
          <w:pgMar w:top="1134" w:right="1134" w:bottom="1134" w:left="1134" w:header="720" w:footer="720" w:gutter="0"/>
          <w:pgNumType w:start="0"/>
          <w:cols w:space="720"/>
          <w:noEndnote/>
          <w:titlePg/>
          <w:docGrid w:linePitch="326"/>
        </w:sectPr>
      </w:pPr>
    </w:p>
    <w:p w14:paraId="1502CDC1" w14:textId="084022D1" w:rsidR="003A7CEB" w:rsidRPr="00A70A81" w:rsidRDefault="00A70A81" w:rsidP="00CC7B55">
      <w:pPr>
        <w:pStyle w:val="Titre1"/>
      </w:pPr>
      <w:r w:rsidRPr="00A70A81">
        <w:lastRenderedPageBreak/>
        <w:t>Les intervention</w:t>
      </w:r>
      <w:r>
        <w:t>s</w:t>
      </w:r>
      <w:r w:rsidRPr="00A70A81">
        <w:t xml:space="preserve"> du Fonds de développement du territoire</w:t>
      </w:r>
    </w:p>
    <w:p w14:paraId="7D4EDAD1" w14:textId="173EC9F9" w:rsidR="003A7CEB" w:rsidRDefault="003A7CEB" w:rsidP="003A7CEB">
      <w:pPr>
        <w:jc w:val="both"/>
        <w:rPr>
          <w:rFonts w:ascii="Arial" w:hAnsi="Arial" w:cs="Arial"/>
          <w:sz w:val="20"/>
          <w:szCs w:val="20"/>
        </w:rPr>
      </w:pPr>
    </w:p>
    <w:p w14:paraId="08C97162" w14:textId="7C5A96F1" w:rsidR="00F17BCF" w:rsidRDefault="00F17BCF" w:rsidP="003A7C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840"/>
        <w:gridCol w:w="2560"/>
        <w:gridCol w:w="3686"/>
        <w:gridCol w:w="1417"/>
        <w:gridCol w:w="1418"/>
        <w:gridCol w:w="1417"/>
      </w:tblGrid>
      <w:tr w:rsidR="00F35558" w:rsidRPr="00F35558" w14:paraId="20CFEE74" w14:textId="77777777" w:rsidTr="00785CF8">
        <w:trPr>
          <w:trHeight w:val="143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4BAA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fr-CA"/>
              </w:rPr>
              <w:t>Priorité d'intervention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97F8B8E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Bénéficiaire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956A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Type d'aide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85BA47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Titre du projet, du contrat ou du mandat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2D88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Coût 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7812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Contribution FDT Somme engagée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372F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Nb emplois</w:t>
            </w: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br/>
              <w:t>estimés crées</w:t>
            </w: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br/>
              <w:t>et maintenus</w:t>
            </w: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br/>
              <w:t>(personne/</w:t>
            </w: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br/>
              <w:t>année)</w:t>
            </w:r>
          </w:p>
        </w:tc>
      </w:tr>
      <w:tr w:rsidR="00F35558" w:rsidRPr="00F35558" w14:paraId="1A742B5F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8C9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444D5C64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MRC des Chenaux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3281" w14:textId="13E81240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Subvention : </w:t>
            </w:r>
            <w:r w:rsidR="00955DD6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autre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447852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Abris instantanées prêts-à-monter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CC7C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1 837,17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A410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1 837,17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CB0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78A722A4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8E2A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114ACA03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 xml:space="preserve">Biathlon Mauricie </w:t>
            </w:r>
            <w:proofErr w:type="spellStart"/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inc.</w:t>
            </w:r>
            <w:proofErr w:type="spell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862A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30BF87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Équipements d'entretien, skis de fond et carabines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975E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145 320,00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E7AF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0C0C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2,0</w:t>
            </w:r>
          </w:p>
        </w:tc>
      </w:tr>
      <w:tr w:rsidR="00F35558" w:rsidRPr="00F35558" w14:paraId="5D2AED50" w14:textId="77777777" w:rsidTr="00785CF8">
        <w:trPr>
          <w:trHeight w:val="9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D83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05BB08A7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Corporation Touristique de Champlain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A643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EC25001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Étude de marché pour spectacles et centre d'interprétation à l'église de Champlain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ECFD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12 182,00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695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6 091,00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4117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1DB99C28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0DB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521E4F1E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Vieux presbytère de Batiscan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14BA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FE13D0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Mise en valeur du Chemin-du-Roy, phase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F04C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765E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B70F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516D651F" w14:textId="77777777" w:rsidTr="00785CF8">
        <w:trPr>
          <w:trHeight w:val="113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7EF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7F1C0B7E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Association des pourvoyeurs de la rivière Ste-Anne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D67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BE3AA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Disposition autonome des boues usées - Fosse septique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BA6A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5DDB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833B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1,0</w:t>
            </w:r>
          </w:p>
        </w:tc>
      </w:tr>
      <w:tr w:rsidR="00F35558" w:rsidRPr="00F35558" w14:paraId="2798666D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254F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151D39BE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Parc de la rivière Batiscan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F32F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64A1EA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Réseau marche et vélo 2019 - Phase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B893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141 531,00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92F4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7349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17DF2048" w14:textId="77777777" w:rsidTr="00E624AE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3233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7BF896C1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Notre-Dame-du-Mont-Carmel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6E3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DCF072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Sauvetage avec véhicule hors-route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35A8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4BC4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80F6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4563869F" w14:textId="77777777" w:rsidTr="00E624AE">
        <w:trPr>
          <w:trHeight w:val="14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257F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lastRenderedPageBreak/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493973F2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Corporation de développement communautaire de la MRC des Chenaux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D99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A5450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Entente pour l'accompagnement en développement social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03B3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CD2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5D4A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1,0</w:t>
            </w:r>
          </w:p>
        </w:tc>
      </w:tr>
      <w:tr w:rsidR="00F35558" w:rsidRPr="00F35558" w14:paraId="474B77CD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5815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57AFDAB2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Corporation Touristique de Batiscan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B9E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9A9C1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Soutien aux opérations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8315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91F8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D306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2,0</w:t>
            </w:r>
          </w:p>
        </w:tc>
      </w:tr>
      <w:tr w:rsidR="00F35558" w:rsidRPr="00F35558" w14:paraId="2068D949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F85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E6EC84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MRC des Chenaux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541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332DF6F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Soutien aux activités et évènements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8BAD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4A56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7A97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53F7518C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84A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38430C22" w14:textId="77777777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Batiscan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572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5E6FF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Remise en état des jeux d'eau au site des loisirs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C161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38 487,88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62A1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A3C3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16F402FF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3C4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E164B02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Notre-Dame-du-Mont-Carmel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814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094CD93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Travaux d'amélioration d'infrastructures de loisirs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4424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57 635,00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D45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21 510,00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27D0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0AA773EC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BF7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874EF01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Sainte-Anne-de-la-Pérade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CAB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CB722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Enseigne numérique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0722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61 834,00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7493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42 416,00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0159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5D2A0298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EE3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BBE7B4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Saint-Maurice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C922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AFC05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Achat d'équipement pour le Centre des jeunes et la bibliothèque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324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0762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16 758,00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0322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3E55E608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79D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CF98AF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Saint-Prosper-de-Champlain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1FB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8AE7E3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Amélioration des espaces communautaires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739A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17 054,00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B070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11 054,00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9C32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23A3E8F9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9FC5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C0BFA6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Saint-Stanislas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C683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79854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Regroupement des infrastructures de loisirs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C29A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90 214,00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4970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24 074,00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3011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005F060B" w14:textId="77777777" w:rsidTr="004D7313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686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30B305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Mathieu Gauthier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CCFA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entreprises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3A67C52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Démarrage de l'entreprise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3D0B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18 456,00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8E03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D9B6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1,0</w:t>
            </w:r>
          </w:p>
        </w:tc>
      </w:tr>
      <w:tr w:rsidR="00F35558" w:rsidRPr="00F35558" w14:paraId="1C0D6273" w14:textId="77777777" w:rsidTr="004D7313">
        <w:trPr>
          <w:trHeight w:val="8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8F30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lastRenderedPageBreak/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BD114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Fief D'Orvilliers (Samuel Rivard)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E900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entreprises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F09505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Démarrage de l'entreprise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A97F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4E51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69D2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2,0</w:t>
            </w:r>
          </w:p>
        </w:tc>
      </w:tr>
      <w:tr w:rsidR="00F35558" w:rsidRPr="00F35558" w14:paraId="1457C7FB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A25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00F48F5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Kundalini </w:t>
            </w:r>
            <w:proofErr w:type="spellStart"/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Biosoins</w:t>
            </w:r>
            <w:proofErr w:type="spellEnd"/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 (Kim Pellerin)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DF4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entreprises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78A5C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Démarrage de l'entreprise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5862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4FD6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B356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1,0</w:t>
            </w:r>
          </w:p>
        </w:tc>
      </w:tr>
      <w:tr w:rsidR="00F35558" w:rsidRPr="00F35558" w14:paraId="6FDD5AFD" w14:textId="77777777" w:rsidTr="00785CF8">
        <w:trPr>
          <w:trHeight w:val="58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A49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7984A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Diana Canada Inc.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C28F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étude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9AB960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Réalisation d'un plan directeur de développement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7F94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127 070,00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4655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DE34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30,0</w:t>
            </w:r>
          </w:p>
        </w:tc>
      </w:tr>
      <w:tr w:rsidR="00F35558" w:rsidRPr="00F35558" w14:paraId="4E5CC50D" w14:textId="77777777" w:rsidTr="00785CF8">
        <w:trPr>
          <w:trHeight w:val="9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7D8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CF50B0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Brasserie et distillerie La Ferme Inc.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A520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étude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68C877A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Étude pour la conception des plans et devis du futur bâtiment de la microbrasserie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3EC5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D12C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7B60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3,0</w:t>
            </w:r>
          </w:p>
        </w:tc>
      </w:tr>
      <w:tr w:rsidR="00F35558" w:rsidRPr="00F35558" w14:paraId="1DBD3AD6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5FE2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16B4AFA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Mercier C. P. Autoroute 40 Sortie 220 Inc.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258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étude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B3545B3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Dossier à la CPTAQ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B5B2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6D6C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7018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30,0</w:t>
            </w:r>
          </w:p>
        </w:tc>
      </w:tr>
      <w:tr w:rsidR="00F35558" w:rsidRPr="00F35558" w14:paraId="30771922" w14:textId="77777777" w:rsidTr="00785CF8">
        <w:trPr>
          <w:trHeight w:val="92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EFB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6A746B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Mercier C. P. Autoroute 40 Sortie 220 Inc.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222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étude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9881F1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Caractérisation et délimitation  de milieux humides sur la propriété de M. Mercier (Champlain, Québec)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EED7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845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11 525,00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26CB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68C16E9D" w14:textId="77777777" w:rsidTr="00785CF8">
        <w:trPr>
          <w:trHeight w:val="140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E998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80D478F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MRC des Chenaux (en collaboration avec Mercier C. P. Autoroute 40 Sortie 220 Inc.)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FC88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étude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2AAE77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Positionnement industriel et stratégie de développement d’un parc industriel régional</w:t>
            </w: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br/>
              <w:t>en partenariat avec Mercier 40 Inc. dans la MRC des Chenaux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9607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21 270,01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3D31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13 270,01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78EA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1D1FF7BC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736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201CFC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Gestion comptable V.S.L. (Vanessa Massicotte)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BB18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entreprises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F24B3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Démarrage de l'entreprise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FA2A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7 550,00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EE08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7B66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1,0</w:t>
            </w:r>
          </w:p>
        </w:tc>
      </w:tr>
      <w:tr w:rsidR="00F35558" w:rsidRPr="00F35558" w14:paraId="3073F037" w14:textId="77777777" w:rsidTr="00E253DF">
        <w:trPr>
          <w:trHeight w:val="123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AE8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D884D76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Parc de la rivière Batiscan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73A0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entreprises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F3066B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Construction de quatre cabines rustiques, installation de quatre tentes de prêt-à-camper, achat d’un canot rabaska et d’équipements divers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418C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51A1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690D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45,0</w:t>
            </w:r>
          </w:p>
        </w:tc>
      </w:tr>
      <w:tr w:rsidR="00F35558" w:rsidRPr="00F35558" w14:paraId="3E53AAAE" w14:textId="77777777" w:rsidTr="00E253DF">
        <w:trPr>
          <w:trHeight w:val="116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354F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lastRenderedPageBreak/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3B114E8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Parc de la rivière Batiscan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CFD6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entreprises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2B5D95" w14:textId="3EDF78C3" w:rsid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Étude et analyse de la production et distribution de l'eau potable (Secteur </w:t>
            </w:r>
            <w:r w:rsidR="0056337E"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Murphy</w:t>
            </w: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) </w:t>
            </w:r>
          </w:p>
          <w:p w14:paraId="57E1307D" w14:textId="3F6EDEF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0D0A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12 145,00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C7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6 072,50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F0E8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3CCBF78C" w14:textId="77777777" w:rsidTr="00785CF8">
        <w:trPr>
          <w:trHeight w:val="3401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AA1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8D59FE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MRC des Chenaux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4A4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Conseil aux entreprises, organismes, communautés (mobilisation)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6E0217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Salaires, formations, déplacements du  coordonnateur du service de développement économique, de l'agent de développement du territoire, de l'agente de développement touristique et de l'agente de développement culturel; Soutien aux entreprises traditionnelles et de développement social; Soutien au développement rural; Soutien au développement culturel; Soutien au développement touristique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ECF5" w14:textId="43D19482" w:rsidR="00F35558" w:rsidRPr="00F35558" w:rsidRDefault="00AF7C74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709 790</w:t>
            </w:r>
            <w:r w:rsidR="00F35558"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5037" w14:textId="63C9D144" w:rsidR="00F35558" w:rsidRPr="00F35558" w:rsidRDefault="00AF7C74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709 790</w:t>
            </w:r>
            <w:r w:rsidR="00F35558"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2653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4,5</w:t>
            </w:r>
          </w:p>
        </w:tc>
      </w:tr>
      <w:tr w:rsidR="00F35558" w:rsidRPr="00F35558" w14:paraId="3117E699" w14:textId="77777777" w:rsidTr="00785CF8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94F1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732CEA6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Économie du Savoir Mauricie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7BC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entreprises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4ED04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Soutien à Économie du Savoir Mauricie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88AA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46 620,00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BD3F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EB6A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1,0</w:t>
            </w:r>
          </w:p>
        </w:tc>
      </w:tr>
      <w:tr w:rsidR="00F35558" w:rsidRPr="00F35558" w14:paraId="372660A2" w14:textId="77777777" w:rsidTr="00785CF8">
        <w:trPr>
          <w:trHeight w:val="254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520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14:paraId="10B687BB" w14:textId="136E7CF5" w:rsidR="00F35558" w:rsidRPr="00F35558" w:rsidRDefault="00F35558" w:rsidP="00F35558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eastAsia="fr-CA"/>
              </w:rPr>
              <w:t>Centre d'étude sur les ressources minérales (CERM) de l'Université du Québec à Chicoutimi (UQAC)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BDAA" w14:textId="54623A52" w:rsidR="00F35558" w:rsidRPr="00F35558" w:rsidRDefault="000D00BA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Contrat de service</w:t>
            </w:r>
            <w:r w:rsidR="00F35558"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D560D75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Projet Acquisition de connaissances sur les eaux souterraines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0E2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E767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036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001DA6FA" w14:textId="77777777" w:rsidTr="00785CF8">
        <w:trPr>
          <w:trHeight w:val="29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F89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B2EE5F1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MRC des Chenaux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8A8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Contrat de service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016B129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Fibre optique -TGV 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3A5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84 222,36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5AF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84 222,36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D8FF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77284F9F" w14:textId="77777777" w:rsidTr="00E253DF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6D83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1C4DFE8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MRC des Chenaux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9AA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 xml:space="preserve">Subvention : autre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910630B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Gestion du bureau d'information touristique de la MRC des Chenaux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7D6E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B609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30 799,41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3F47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3,0</w:t>
            </w:r>
          </w:p>
        </w:tc>
      </w:tr>
      <w:tr w:rsidR="00F35558" w:rsidRPr="00F35558" w14:paraId="0702163B" w14:textId="77777777" w:rsidTr="00E253DF">
        <w:trPr>
          <w:trHeight w:val="8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75E1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E4E20F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MRC des Chenaux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709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entreprises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A13D216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Soutien à la Communauté Entrepreneuriale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5F6B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3 318,16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8C5F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3 318,16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0623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0,0</w:t>
            </w:r>
          </w:p>
        </w:tc>
      </w:tr>
      <w:tr w:rsidR="00F35558" w:rsidRPr="00F35558" w14:paraId="07966206" w14:textId="77777777" w:rsidTr="00785CF8">
        <w:trPr>
          <w:trHeight w:val="1991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7AA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73DFCE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MRC des Chenaux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7997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Soutien à la planification de l’aménagement du territoire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14699F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Salaires, formations, déplacements de l'aménagiste et du géomaticien; Planification stratégique de développement durable; Plan de développement de la zone agricole; Mise à jour du système d'information géographique.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FBD0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137 620,75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2890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137 620,75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F987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2,0</w:t>
            </w:r>
          </w:p>
        </w:tc>
      </w:tr>
      <w:tr w:rsidR="00F35558" w:rsidRPr="00F35558" w14:paraId="56255934" w14:textId="77777777" w:rsidTr="0009761F">
        <w:trPr>
          <w:trHeight w:val="8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3993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E1C9B7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Parc de la rivière Batiscan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D12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Subvention : développement des milieux de vie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B53DE6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Parc de la riv. Batiscan - Support financier aux opérations saisonnières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8915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32 099,00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AD18" w14:textId="77777777" w:rsidR="00F35558" w:rsidRPr="00F35558" w:rsidRDefault="00F35558" w:rsidP="00F35558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19 076,00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299F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28,0</w:t>
            </w:r>
          </w:p>
        </w:tc>
      </w:tr>
      <w:tr w:rsidR="00F35558" w:rsidRPr="00F35558" w14:paraId="319F435F" w14:textId="77777777" w:rsidTr="0009761F">
        <w:trPr>
          <w:trHeight w:val="292"/>
        </w:trPr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1DC12AE" w14:textId="77777777" w:rsidR="00F35558" w:rsidRPr="00F35558" w:rsidRDefault="00F35558" w:rsidP="00F35558">
            <w:pPr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22"/>
                <w:szCs w:val="22"/>
                <w:lang w:eastAsia="fr-CA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C5988C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179E5BD" w14:textId="77777777" w:rsidR="00F35558" w:rsidRPr="00F35558" w:rsidRDefault="00F35558" w:rsidP="00F35558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43F4" w14:textId="77777777" w:rsidR="00F35558" w:rsidRPr="00F35558" w:rsidRDefault="00F35558" w:rsidP="00F35558">
            <w:pPr>
              <w:rPr>
                <w:rFonts w:ascii="Calibri" w:eastAsia="Times New Roman" w:hAnsi="Calibri" w:cs="Calibri"/>
                <w:b/>
                <w:bCs/>
                <w:noProof w:val="0"/>
                <w:color w:val="ED7D31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color w:val="ED7D31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9546" w14:textId="72750380" w:rsidR="00F35558" w:rsidRPr="00F35558" w:rsidRDefault="00F35558" w:rsidP="00F35558">
            <w:pPr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2</w:t>
            </w:r>
            <w:r w:rsidR="0055613D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 309 064</w:t>
            </w:r>
            <w:r w:rsidRPr="00F3555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69A9" w14:textId="5C6D05CC" w:rsidR="00F35558" w:rsidRPr="00F35558" w:rsidRDefault="00F35558" w:rsidP="00F35558">
            <w:pPr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 xml:space="preserve">1 </w:t>
            </w:r>
            <w:r w:rsidR="0055613D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3</w:t>
            </w:r>
            <w:r w:rsidRPr="00F3555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7</w:t>
            </w:r>
            <w:r w:rsidR="0055613D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6</w:t>
            </w:r>
            <w:r w:rsidRPr="00F3555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 xml:space="preserve"> </w:t>
            </w:r>
            <w:r w:rsidR="0055613D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26</w:t>
            </w:r>
            <w:r w:rsidRPr="00F3555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39F5" w14:textId="77777777" w:rsidR="00F35558" w:rsidRPr="00F35558" w:rsidRDefault="00F35558" w:rsidP="00F3555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</w:pPr>
            <w:r w:rsidRPr="00F3555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157,5</w:t>
            </w:r>
          </w:p>
        </w:tc>
      </w:tr>
    </w:tbl>
    <w:p w14:paraId="1E4522A6" w14:textId="77777777" w:rsidR="00F35558" w:rsidRDefault="00F35558" w:rsidP="003A7CEB">
      <w:pPr>
        <w:jc w:val="both"/>
        <w:rPr>
          <w:rFonts w:ascii="Arial" w:hAnsi="Arial" w:cs="Arial"/>
          <w:sz w:val="20"/>
          <w:szCs w:val="20"/>
        </w:rPr>
      </w:pPr>
    </w:p>
    <w:p w14:paraId="19B7E1F8" w14:textId="3E6496C0" w:rsidR="00F17BCF" w:rsidRDefault="00F17BCF" w:rsidP="003A7CEB">
      <w:pPr>
        <w:jc w:val="both"/>
        <w:rPr>
          <w:rFonts w:ascii="Arial" w:hAnsi="Arial" w:cs="Arial"/>
          <w:sz w:val="20"/>
          <w:szCs w:val="20"/>
        </w:rPr>
      </w:pPr>
    </w:p>
    <w:p w14:paraId="5EBD7E42" w14:textId="77777777" w:rsidR="005733DA" w:rsidRDefault="005733DA" w:rsidP="00082D66">
      <w:pPr>
        <w:rPr>
          <w:sz w:val="20"/>
          <w:szCs w:val="20"/>
        </w:rPr>
        <w:sectPr w:rsidR="005733DA" w:rsidSect="00AF73D0">
          <w:pgSz w:w="15840" w:h="12240" w:orient="landscape"/>
          <w:pgMar w:top="1417" w:right="1134" w:bottom="1417" w:left="1134" w:header="720" w:footer="720" w:gutter="0"/>
          <w:cols w:space="720"/>
          <w:noEndnote/>
        </w:sectPr>
      </w:pPr>
    </w:p>
    <w:p w14:paraId="166BCA8E" w14:textId="4E9B5F59" w:rsidR="00A32091" w:rsidRDefault="009257E9" w:rsidP="00CC7B55">
      <w:pPr>
        <w:pStyle w:val="Titre1"/>
      </w:pPr>
      <w:r>
        <w:lastRenderedPageBreak/>
        <w:t>E</w:t>
      </w:r>
      <w:r w:rsidRPr="00FB60A6">
        <w:t>ntente</w:t>
      </w:r>
      <w:r>
        <w:t>s</w:t>
      </w:r>
      <w:r w:rsidRPr="00FB60A6">
        <w:t xml:space="preserve"> sectorielle</w:t>
      </w:r>
      <w:r>
        <w:t>s</w:t>
      </w:r>
      <w:r w:rsidRPr="00FB60A6">
        <w:t xml:space="preserve"> de développement avec un ministère ou un organisme du gouvernement financée</w:t>
      </w:r>
      <w:r w:rsidR="009F5140">
        <w:t>s</w:t>
      </w:r>
      <w:r w:rsidRPr="00FB60A6">
        <w:t xml:space="preserve"> par le FDT</w:t>
      </w:r>
    </w:p>
    <w:p w14:paraId="5AB2FDD1" w14:textId="1FC01FC8" w:rsidR="000B1D73" w:rsidRDefault="000B1D73" w:rsidP="000B1D73">
      <w:pPr>
        <w:rPr>
          <w:lang w:val="fr-FR"/>
        </w:rPr>
      </w:pPr>
    </w:p>
    <w:p w14:paraId="289001DE" w14:textId="37A45CB1" w:rsidR="000B1D73" w:rsidRDefault="000B1D73" w:rsidP="000B1D73">
      <w:pPr>
        <w:rPr>
          <w:lang w:val="fr-FR"/>
        </w:rPr>
      </w:pPr>
    </w:p>
    <w:tbl>
      <w:tblPr>
        <w:tblW w:w="9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3520"/>
        <w:gridCol w:w="2407"/>
        <w:gridCol w:w="1420"/>
        <w:gridCol w:w="1305"/>
      </w:tblGrid>
      <w:tr w:rsidR="00C504AC" w:rsidRPr="00C504AC" w14:paraId="5F3A75C1" w14:textId="77777777" w:rsidTr="00735183">
        <w:trPr>
          <w:trHeight w:val="292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00C4" w14:textId="77777777" w:rsidR="00C504AC" w:rsidRPr="00C504AC" w:rsidRDefault="00C504AC" w:rsidP="00C504AC">
            <w:pPr>
              <w:rPr>
                <w:rFonts w:ascii="Times New Roman" w:eastAsia="Times New Roman" w:hAnsi="Times New Roman" w:cs="Times New Roman"/>
                <w:noProof w:val="0"/>
                <w:lang w:eastAsia="fr-CA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5284" w14:textId="77777777" w:rsidR="00C504AC" w:rsidRPr="00C504AC" w:rsidRDefault="00C504AC" w:rsidP="00C504A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C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FA80B2" w14:textId="77777777" w:rsidR="00C504AC" w:rsidRPr="00C504AC" w:rsidRDefault="00C504AC" w:rsidP="00C504AC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CA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281856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Somme engagées</w:t>
            </w:r>
          </w:p>
        </w:tc>
      </w:tr>
      <w:tr w:rsidR="00366606" w:rsidRPr="00C504AC" w14:paraId="5B4D48AF" w14:textId="77777777" w:rsidTr="00366606">
        <w:trPr>
          <w:trHeight w:val="58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45723" w14:textId="1DCCAE11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fr-CA"/>
              </w:rPr>
              <w:t>Priorité</w:t>
            </w: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fr-CA"/>
              </w:rPr>
              <w:br/>
              <w:t>d'intervention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74FB460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Titre de l'entente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7C7BED5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Principal partenaire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F0EA2A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Coût total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41F9A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t>Contribution</w:t>
            </w: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fr-CA"/>
              </w:rPr>
              <w:br/>
              <w:t>FDT</w:t>
            </w:r>
          </w:p>
        </w:tc>
      </w:tr>
      <w:tr w:rsidR="00C504AC" w:rsidRPr="00C504AC" w14:paraId="0D6DF455" w14:textId="77777777" w:rsidTr="00DE2794">
        <w:trPr>
          <w:trHeight w:val="583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F5D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636458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Programme de partenariat territorial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70D4A7A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Conseil des arts et lettres du Québec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013D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F9C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15 000,00</w:t>
            </w:r>
          </w:p>
        </w:tc>
      </w:tr>
      <w:tr w:rsidR="00C504AC" w:rsidRPr="00C504AC" w14:paraId="58202750" w14:textId="77777777" w:rsidTr="00DE2794">
        <w:trPr>
          <w:trHeight w:val="583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07E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4263C9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Entente de partenariat régional en tourisme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FAB99D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Ministère du tourisme et MRC/Villes de la Mauricie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A3A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1 190 000,00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E222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35 000,00</w:t>
            </w:r>
          </w:p>
        </w:tc>
      </w:tr>
      <w:tr w:rsidR="00C504AC" w:rsidRPr="00C504AC" w14:paraId="060F03DB" w14:textId="77777777" w:rsidTr="00DE2794">
        <w:trPr>
          <w:trHeight w:val="583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6BB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21E8A4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Accompagnement spécialisé en innovation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E693DA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Économie du savoir  Mauricie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57C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47 800,00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ADDF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4 780,00</w:t>
            </w:r>
          </w:p>
        </w:tc>
      </w:tr>
      <w:tr w:rsidR="00C504AC" w:rsidRPr="00C504AC" w14:paraId="70AF9CEF" w14:textId="77777777" w:rsidTr="00DE2794">
        <w:trPr>
          <w:trHeight w:val="583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2BF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F166FA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Entente en économie sociale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086A80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Pôle d'économie sociale de la Mauricie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76A2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FF4B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20 000,00</w:t>
            </w:r>
          </w:p>
        </w:tc>
      </w:tr>
      <w:tr w:rsidR="00C504AC" w:rsidRPr="00C504AC" w14:paraId="4F68CA4F" w14:textId="77777777" w:rsidTr="00DE2794">
        <w:trPr>
          <w:trHeight w:val="583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B08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22ED0F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Entente sectorielle de développement social 2018-2019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DED3968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CIUSS Mauricie/Centre-du-Québec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645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197 100,00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F698" w14:textId="77777777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5 350,00</w:t>
            </w:r>
          </w:p>
        </w:tc>
      </w:tr>
      <w:tr w:rsidR="00C504AC" w:rsidRPr="00C504AC" w14:paraId="6AB1CF37" w14:textId="77777777" w:rsidTr="00DE2794">
        <w:trPr>
          <w:trHeight w:val="87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F2C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20AFA1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Entente sectorielle sur le développement de l'agriculture et de l'agroalimentaire en Mauricie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5FE6026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MAPAQ, Emploi Québec, MAMH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662A" w14:textId="687A61AE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9</w:t>
            </w:r>
            <w:r w:rsidR="00735A6D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8</w:t>
            </w: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2 500,00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380C" w14:textId="66B319F7" w:rsidR="00C504AC" w:rsidRPr="00C504AC" w:rsidRDefault="00735A6D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</w:t>
            </w:r>
            <w:r w:rsidR="00C504AC"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5 000,00</w:t>
            </w:r>
          </w:p>
        </w:tc>
      </w:tr>
      <w:tr w:rsidR="00C504AC" w:rsidRPr="00C504AC" w14:paraId="766AAA61" w14:textId="77777777" w:rsidTr="00DE2794">
        <w:trPr>
          <w:trHeight w:val="583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D49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D87079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Entente culturelle régionale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5F9B76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Ministère de la Culture et des Communications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EF9" w14:textId="062507FE" w:rsidR="00C504AC" w:rsidRPr="00C504AC" w:rsidRDefault="00735A6D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139 5</w:t>
            </w:r>
            <w:r w:rsidR="00C504AC"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DFE2" w14:textId="351F87DA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1</w:t>
            </w:r>
            <w:r w:rsidR="00CD3FF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3 500</w:t>
            </w:r>
            <w:r w:rsidRPr="00C504A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fr-CA"/>
              </w:rPr>
              <w:t>,00</w:t>
            </w:r>
          </w:p>
        </w:tc>
      </w:tr>
      <w:tr w:rsidR="00C504AC" w:rsidRPr="00C504AC" w14:paraId="685B5F37" w14:textId="77777777" w:rsidTr="00DE2794">
        <w:trPr>
          <w:trHeight w:val="292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3DCD" w14:textId="77777777" w:rsidR="00C504AC" w:rsidRPr="00C504AC" w:rsidRDefault="00C504AC" w:rsidP="00C504AC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C65911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color w:val="C65911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756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C65911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C65911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CD72" w14:textId="77777777" w:rsidR="00C504AC" w:rsidRPr="00C504AC" w:rsidRDefault="00C504AC" w:rsidP="00C504AC">
            <w:pPr>
              <w:rPr>
                <w:rFonts w:ascii="Calibri" w:eastAsia="Times New Roman" w:hAnsi="Calibri" w:cs="Calibri"/>
                <w:noProof w:val="0"/>
                <w:color w:val="C65911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noProof w:val="0"/>
                <w:color w:val="C65911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41AA" w14:textId="2B900E28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3</w:t>
            </w:r>
            <w:r w:rsidR="002F7C0E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 156 900</w:t>
            </w:r>
            <w:r w:rsidRPr="00C504AC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F9E4" w14:textId="12E0C396" w:rsidR="00C504AC" w:rsidRPr="00C504AC" w:rsidRDefault="00C504AC" w:rsidP="00C504AC">
            <w:pPr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</w:pPr>
            <w:r w:rsidRPr="00C504AC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1</w:t>
            </w:r>
            <w:r w:rsidR="00BE4041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4</w:t>
            </w:r>
            <w:r w:rsidRPr="00C504AC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 xml:space="preserve">8 </w:t>
            </w:r>
            <w:r w:rsidR="00BE4041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6</w:t>
            </w:r>
            <w:r w:rsidRPr="00C504AC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fr-CA"/>
              </w:rPr>
              <w:t>30,00</w:t>
            </w:r>
          </w:p>
        </w:tc>
      </w:tr>
    </w:tbl>
    <w:p w14:paraId="3784D13C" w14:textId="776A2CDD" w:rsidR="000B1D73" w:rsidRDefault="000B1D73" w:rsidP="000B1D73">
      <w:pPr>
        <w:rPr>
          <w:lang w:val="fr-FR"/>
        </w:rPr>
      </w:pPr>
    </w:p>
    <w:p w14:paraId="3F480E33" w14:textId="77777777" w:rsidR="00822621" w:rsidRDefault="00822621" w:rsidP="000B1D73">
      <w:pPr>
        <w:rPr>
          <w:lang w:val="fr-FR"/>
        </w:rPr>
      </w:pPr>
      <w:bookmarkStart w:id="0" w:name="_GoBack"/>
      <w:bookmarkEnd w:id="0"/>
    </w:p>
    <w:p w14:paraId="60C85361" w14:textId="20F1D5C3" w:rsidR="002D367B" w:rsidRDefault="002D367B" w:rsidP="002D367B">
      <w:pPr>
        <w:pStyle w:val="Titre1"/>
      </w:pPr>
      <w:r w:rsidRPr="006B1214">
        <w:rPr>
          <w:lang w:val="fr-FR"/>
        </w:rPr>
        <w:t>Dépenses d’administration de la MRC des Chenaux relative au FDT</w:t>
      </w:r>
    </w:p>
    <w:p w14:paraId="00338908" w14:textId="77777777" w:rsidR="002D367B" w:rsidRPr="00A923D4" w:rsidRDefault="002D367B" w:rsidP="00A923D4"/>
    <w:tbl>
      <w:tblPr>
        <w:tblW w:w="5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960"/>
      </w:tblGrid>
      <w:tr w:rsidR="006B1214" w:rsidRPr="006B1214" w14:paraId="67D4DEE1" w14:textId="77777777" w:rsidTr="00422D5C">
        <w:trPr>
          <w:trHeight w:val="320"/>
          <w:jc w:val="center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1D6A" w14:textId="77777777" w:rsidR="006B1214" w:rsidRPr="006B1214" w:rsidRDefault="006B1214" w:rsidP="002D367B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547C" w14:textId="77777777" w:rsidR="006B1214" w:rsidRPr="006B1214" w:rsidRDefault="006B1214" w:rsidP="006B1214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fr-FR"/>
              </w:rPr>
            </w:pPr>
            <w:r w:rsidRPr="006B121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422D5C" w:rsidRPr="006B1214" w14:paraId="1F98AC0C" w14:textId="77777777" w:rsidTr="00422D5C">
        <w:trPr>
          <w:trHeight w:val="320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5674C" w14:textId="4ABD8206" w:rsidR="00422D5C" w:rsidRPr="006B1214" w:rsidRDefault="00422D5C" w:rsidP="00422D5C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fr-FR"/>
              </w:rPr>
            </w:pPr>
            <w:r w:rsidRPr="006B121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fr-FR"/>
              </w:rPr>
              <w:t>201</w:t>
            </w:r>
            <w:r w:rsidR="008340A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fr-FR"/>
              </w:rPr>
              <w:t>8</w:t>
            </w:r>
            <w:r w:rsidRPr="006B121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fr-FR"/>
              </w:rPr>
              <w:t>-201</w:t>
            </w:r>
            <w:r w:rsidR="008340A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fr-FR"/>
              </w:rPr>
              <w:t>9</w:t>
            </w:r>
          </w:p>
        </w:tc>
      </w:tr>
      <w:tr w:rsidR="006B1214" w:rsidRPr="006B1214" w14:paraId="10DA6795" w14:textId="77777777" w:rsidTr="00647E96">
        <w:trPr>
          <w:trHeight w:val="32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0D0F3E" w14:textId="77777777" w:rsidR="006B1214" w:rsidRPr="006B1214" w:rsidRDefault="006B1214" w:rsidP="006B1214">
            <w:pPr>
              <w:rPr>
                <w:rFonts w:ascii="Arial" w:eastAsia="Times New Roman" w:hAnsi="Arial" w:cs="Arial"/>
                <w:bCs/>
                <w:noProof w:val="0"/>
                <w:color w:val="000000"/>
                <w:sz w:val="22"/>
                <w:szCs w:val="22"/>
                <w:lang w:val="fr-FR"/>
              </w:rPr>
            </w:pPr>
            <w:r w:rsidRPr="006B1214">
              <w:rPr>
                <w:rFonts w:ascii="Arial" w:eastAsia="Times New Roman" w:hAnsi="Arial" w:cs="Arial"/>
                <w:bCs/>
                <w:noProof w:val="0"/>
                <w:color w:val="000000"/>
                <w:sz w:val="22"/>
                <w:szCs w:val="22"/>
                <w:lang w:val="fr-FR"/>
              </w:rPr>
              <w:t>Personnel administratif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30E90EA" w14:textId="73C88359" w:rsidR="006B1214" w:rsidRPr="006B1214" w:rsidRDefault="006B1214" w:rsidP="00EF3050">
            <w:pPr>
              <w:jc w:val="right"/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</w:pPr>
            <w:r w:rsidRPr="006B1214"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  <w:t>3 </w:t>
            </w:r>
            <w:r w:rsidR="0081454C"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  <w:t>121</w:t>
            </w:r>
            <w:r w:rsidR="00EF3050"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  <w:t xml:space="preserve"> $</w:t>
            </w:r>
          </w:p>
        </w:tc>
      </w:tr>
      <w:tr w:rsidR="006B1214" w:rsidRPr="006B1214" w14:paraId="063BF2E5" w14:textId="77777777" w:rsidTr="00647E96">
        <w:trPr>
          <w:trHeight w:val="32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C47B4C" w14:textId="77777777" w:rsidR="006B1214" w:rsidRPr="006B1214" w:rsidRDefault="006B1214" w:rsidP="006B1214">
            <w:pPr>
              <w:rPr>
                <w:rFonts w:ascii="Arial" w:eastAsia="Times New Roman" w:hAnsi="Arial" w:cs="Arial"/>
                <w:bCs/>
                <w:noProof w:val="0"/>
                <w:sz w:val="22"/>
                <w:szCs w:val="22"/>
                <w:lang w:val="fr-FR"/>
              </w:rPr>
            </w:pPr>
            <w:r w:rsidRPr="006B1214">
              <w:rPr>
                <w:rFonts w:ascii="Arial" w:eastAsia="Times New Roman" w:hAnsi="Arial" w:cs="Arial"/>
                <w:bCs/>
                <w:noProof w:val="0"/>
                <w:sz w:val="22"/>
                <w:szCs w:val="22"/>
                <w:lang w:val="fr-FR"/>
              </w:rPr>
              <w:t>Élus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DBAE6FA" w14:textId="4EC458AE" w:rsidR="006B1214" w:rsidRPr="006B1214" w:rsidRDefault="006B1214" w:rsidP="00EF3050">
            <w:pPr>
              <w:jc w:val="right"/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</w:pPr>
            <w:r w:rsidRPr="006B1214"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  <w:t>7 </w:t>
            </w:r>
            <w:r w:rsidR="0081454C"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  <w:t>786</w:t>
            </w:r>
            <w:r w:rsidR="00EF3050"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  <w:t xml:space="preserve"> $</w:t>
            </w:r>
          </w:p>
        </w:tc>
      </w:tr>
      <w:tr w:rsidR="006B1214" w:rsidRPr="006B1214" w14:paraId="155A9D8B" w14:textId="77777777" w:rsidTr="00647E96">
        <w:trPr>
          <w:trHeight w:val="32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4E1E839" w14:textId="77777777" w:rsidR="006B1214" w:rsidRPr="006B1214" w:rsidRDefault="006B1214" w:rsidP="006B1214">
            <w:pPr>
              <w:rPr>
                <w:rFonts w:ascii="Arial" w:eastAsia="Times New Roman" w:hAnsi="Arial" w:cs="Arial"/>
                <w:bCs/>
                <w:noProof w:val="0"/>
                <w:color w:val="000000"/>
                <w:sz w:val="22"/>
                <w:szCs w:val="22"/>
                <w:lang w:val="fr-FR"/>
              </w:rPr>
            </w:pPr>
            <w:r w:rsidRPr="006B1214">
              <w:rPr>
                <w:rFonts w:ascii="Arial" w:eastAsia="Times New Roman" w:hAnsi="Arial" w:cs="Arial"/>
                <w:bCs/>
                <w:noProof w:val="0"/>
                <w:color w:val="000000"/>
                <w:sz w:val="22"/>
                <w:szCs w:val="22"/>
                <w:lang w:val="fr-FR"/>
              </w:rPr>
              <w:t>Autres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996B2EB" w14:textId="4A0666E7" w:rsidR="006B1214" w:rsidRPr="006B1214" w:rsidRDefault="006B1214" w:rsidP="00EF3050">
            <w:pPr>
              <w:numPr>
                <w:ilvl w:val="0"/>
                <w:numId w:val="11"/>
              </w:numPr>
              <w:jc w:val="right"/>
              <w:rPr>
                <w:rFonts w:ascii="Arial" w:eastAsia="Times New Roman" w:hAnsi="Arial" w:cs="Arial"/>
                <w:noProof w:val="0"/>
                <w:sz w:val="22"/>
                <w:szCs w:val="22"/>
                <w:lang w:val="fr-FR"/>
              </w:rPr>
            </w:pPr>
          </w:p>
        </w:tc>
      </w:tr>
      <w:tr w:rsidR="006B1214" w:rsidRPr="006B1214" w14:paraId="5EAB035C" w14:textId="77777777" w:rsidTr="00647E96">
        <w:trPr>
          <w:trHeight w:val="32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05A8B80" w14:textId="23335808" w:rsidR="006B1214" w:rsidRPr="006B1214" w:rsidRDefault="00EF3050" w:rsidP="006B1214">
            <w:pPr>
              <w:rPr>
                <w:rFonts w:ascii="Arial" w:eastAsia="Times New Roman" w:hAnsi="Arial" w:cs="Arial"/>
                <w:b/>
                <w:noProof w:val="0"/>
                <w:sz w:val="22"/>
                <w:szCs w:val="22"/>
                <w:lang w:val="fr-FR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CA69B92" w14:textId="44128D08" w:rsidR="006B1214" w:rsidRPr="006B1214" w:rsidRDefault="006B1214" w:rsidP="00EF3050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val="fr-FR"/>
              </w:rPr>
            </w:pPr>
            <w:r w:rsidRPr="006B1214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val="fr-FR"/>
              </w:rPr>
              <w:t>10 </w:t>
            </w:r>
            <w:r w:rsidR="00647E96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val="fr-FR"/>
              </w:rPr>
              <w:t>907</w:t>
            </w:r>
            <w:r w:rsidR="00EF3050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val="fr-FR"/>
              </w:rPr>
              <w:t xml:space="preserve"> $</w:t>
            </w:r>
          </w:p>
        </w:tc>
      </w:tr>
    </w:tbl>
    <w:p w14:paraId="01B31E33" w14:textId="77777777" w:rsidR="009257E9" w:rsidRDefault="009257E9" w:rsidP="002F35F4">
      <w:pPr>
        <w:jc w:val="both"/>
        <w:rPr>
          <w:rFonts w:ascii="Arial" w:hAnsi="Arial" w:cs="Arial"/>
        </w:rPr>
      </w:pPr>
    </w:p>
    <w:sectPr w:rsidR="009257E9" w:rsidSect="00AF73D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8E2AB" w14:textId="77777777" w:rsidR="00DB03CC" w:rsidRDefault="00DB03CC" w:rsidP="00044F05">
      <w:r>
        <w:separator/>
      </w:r>
    </w:p>
  </w:endnote>
  <w:endnote w:type="continuationSeparator" w:id="0">
    <w:p w14:paraId="3275DF56" w14:textId="77777777" w:rsidR="00DB03CC" w:rsidRDefault="00DB03CC" w:rsidP="000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8E2C" w14:textId="77777777" w:rsidR="00DB03CC" w:rsidRDefault="00DB03CC" w:rsidP="00C824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673622" w14:textId="77777777" w:rsidR="00DB03CC" w:rsidRDefault="00DB03CC" w:rsidP="00044F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DB97" w14:textId="77777777" w:rsidR="00DB03CC" w:rsidRPr="00C82446" w:rsidRDefault="00DB03CC" w:rsidP="00C82446">
    <w:pPr>
      <w:pStyle w:val="Pieddepage"/>
      <w:framePr w:wrap="around" w:vAnchor="text" w:hAnchor="margin" w:xAlign="right" w:y="1"/>
      <w:rPr>
        <w:rStyle w:val="Numrodepage"/>
        <w:color w:val="FFFFFF" w:themeColor="background1"/>
      </w:rPr>
    </w:pPr>
    <w:r w:rsidRPr="00C82446">
      <w:rPr>
        <w:rStyle w:val="Numrodepage"/>
      </w:rPr>
      <w:fldChar w:fldCharType="begin"/>
    </w:r>
    <w:r w:rsidRPr="00C82446">
      <w:rPr>
        <w:rStyle w:val="Numrodepage"/>
      </w:rPr>
      <w:instrText xml:space="preserve">PAGE  </w:instrText>
    </w:r>
    <w:r w:rsidRPr="00C82446">
      <w:rPr>
        <w:rStyle w:val="Numrodepage"/>
      </w:rPr>
      <w:fldChar w:fldCharType="separate"/>
    </w:r>
    <w:r>
      <w:rPr>
        <w:rStyle w:val="Numrodepage"/>
      </w:rPr>
      <w:t>8</w:t>
    </w:r>
    <w:r w:rsidRPr="00C82446">
      <w:rPr>
        <w:rStyle w:val="Numrodepage"/>
      </w:rPr>
      <w:fldChar w:fldCharType="end"/>
    </w:r>
  </w:p>
  <w:p w14:paraId="72568BD9" w14:textId="7636B473" w:rsidR="00DB03CC" w:rsidRPr="003A7CEB" w:rsidRDefault="00DB03CC" w:rsidP="00443B82">
    <w:pPr>
      <w:pStyle w:val="Pieddepage"/>
      <w:tabs>
        <w:tab w:val="left" w:pos="3119"/>
      </w:tabs>
      <w:ind w:right="360"/>
      <w:rPr>
        <w:rFonts w:ascii="Arial" w:hAnsi="Arial" w:cs="Arial"/>
        <w:sz w:val="20"/>
        <w:szCs w:val="20"/>
      </w:rPr>
    </w:pPr>
    <w:r w:rsidRPr="003A7CEB">
      <w:rPr>
        <w:rFonts w:ascii="Arial" w:hAnsi="Arial" w:cs="Arial"/>
        <w:b/>
        <w:bCs/>
        <w:sz w:val="20"/>
        <w:szCs w:val="20"/>
        <w:lang w:val="fr-FR"/>
      </w:rPr>
      <w:drawing>
        <wp:anchor distT="0" distB="0" distL="114300" distR="114300" simplePos="0" relativeHeight="251659264" behindDoc="0" locked="0" layoutInCell="1" allowOverlap="1" wp14:anchorId="24462367" wp14:editId="021F7218">
          <wp:simplePos x="0" y="0"/>
          <wp:positionH relativeFrom="column">
            <wp:posOffset>2856865</wp:posOffset>
          </wp:positionH>
          <wp:positionV relativeFrom="paragraph">
            <wp:posOffset>-156845</wp:posOffset>
          </wp:positionV>
          <wp:extent cx="445770" cy="457200"/>
          <wp:effectExtent l="0" t="0" r="11430" b="0"/>
          <wp:wrapThrough wrapText="bothSides">
            <wp:wrapPolygon edited="0">
              <wp:start x="0" y="0"/>
              <wp:lineTo x="0" y="20400"/>
              <wp:lineTo x="20923" y="20400"/>
              <wp:lineTo x="20923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CEB">
      <w:rPr>
        <w:rFonts w:ascii="Arial" w:hAnsi="Arial" w:cs="Arial"/>
        <w:sz w:val="20"/>
        <w:szCs w:val="20"/>
      </w:rPr>
      <w:t>Rapport annuel d’activité</w:t>
    </w:r>
    <w:r>
      <w:rPr>
        <w:rFonts w:ascii="Arial" w:hAnsi="Arial" w:cs="Arial"/>
        <w:sz w:val="20"/>
        <w:szCs w:val="20"/>
      </w:rPr>
      <w:t xml:space="preserve"> 2018-2019</w:t>
    </w:r>
    <w:r w:rsidRPr="003A7CEB">
      <w:rPr>
        <w:rFonts w:ascii="Arial" w:hAnsi="Arial" w:cs="Arial"/>
        <w:sz w:val="20"/>
        <w:szCs w:val="20"/>
      </w:rPr>
      <w:tab/>
    </w:r>
  </w:p>
  <w:p w14:paraId="7C929212" w14:textId="7D400A8D" w:rsidR="00DB03CC" w:rsidRPr="003A7CEB" w:rsidRDefault="00DB03CC" w:rsidP="00044F05">
    <w:pPr>
      <w:pStyle w:val="Pieddepage"/>
      <w:ind w:right="360"/>
      <w:rPr>
        <w:rFonts w:ascii="Arial" w:hAnsi="Arial" w:cs="Arial"/>
        <w:sz w:val="20"/>
        <w:szCs w:val="20"/>
      </w:rPr>
    </w:pPr>
    <w:r w:rsidRPr="003A7CEB">
      <w:rPr>
        <w:rFonts w:ascii="Arial" w:hAnsi="Arial" w:cs="Arial"/>
        <w:sz w:val="20"/>
        <w:szCs w:val="20"/>
      </w:rPr>
      <w:t>Fonds de développement des territoires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13E87" w14:textId="77777777" w:rsidR="00DB03CC" w:rsidRDefault="00DB03CC" w:rsidP="00044F05">
      <w:r>
        <w:separator/>
      </w:r>
    </w:p>
  </w:footnote>
  <w:footnote w:type="continuationSeparator" w:id="0">
    <w:p w14:paraId="1140EA7F" w14:textId="77777777" w:rsidR="00DB03CC" w:rsidRDefault="00DB03CC" w:rsidP="0004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C568C1E6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888030DA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24C27CBE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0D2449"/>
    <w:multiLevelType w:val="hybridMultilevel"/>
    <w:tmpl w:val="9754024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0B73"/>
    <w:multiLevelType w:val="hybridMultilevel"/>
    <w:tmpl w:val="BDB2CD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E820564"/>
    <w:multiLevelType w:val="hybridMultilevel"/>
    <w:tmpl w:val="181AE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251C"/>
    <w:multiLevelType w:val="multilevel"/>
    <w:tmpl w:val="75D60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A577B8"/>
    <w:multiLevelType w:val="hybridMultilevel"/>
    <w:tmpl w:val="4ECC6D8E"/>
    <w:lvl w:ilvl="0" w:tplc="2C088B5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27BAC"/>
    <w:rsid w:val="0000639C"/>
    <w:rsid w:val="00011782"/>
    <w:rsid w:val="00044F05"/>
    <w:rsid w:val="00050451"/>
    <w:rsid w:val="000626B2"/>
    <w:rsid w:val="000649A2"/>
    <w:rsid w:val="00082D66"/>
    <w:rsid w:val="00091500"/>
    <w:rsid w:val="0009761F"/>
    <w:rsid w:val="000A03DD"/>
    <w:rsid w:val="000A410B"/>
    <w:rsid w:val="000B1163"/>
    <w:rsid w:val="000B1D73"/>
    <w:rsid w:val="000B2301"/>
    <w:rsid w:val="000C34D1"/>
    <w:rsid w:val="000C6292"/>
    <w:rsid w:val="000C78AA"/>
    <w:rsid w:val="000D00BA"/>
    <w:rsid w:val="0010203C"/>
    <w:rsid w:val="00102FE9"/>
    <w:rsid w:val="001074EC"/>
    <w:rsid w:val="00111079"/>
    <w:rsid w:val="00126463"/>
    <w:rsid w:val="00127349"/>
    <w:rsid w:val="00146149"/>
    <w:rsid w:val="00150586"/>
    <w:rsid w:val="00163CAA"/>
    <w:rsid w:val="00164DF4"/>
    <w:rsid w:val="00166318"/>
    <w:rsid w:val="00181288"/>
    <w:rsid w:val="00184739"/>
    <w:rsid w:val="00185452"/>
    <w:rsid w:val="001861D5"/>
    <w:rsid w:val="001948A7"/>
    <w:rsid w:val="001B5B25"/>
    <w:rsid w:val="001B79EB"/>
    <w:rsid w:val="001C3CF1"/>
    <w:rsid w:val="001C4481"/>
    <w:rsid w:val="001D4F01"/>
    <w:rsid w:val="001E38EE"/>
    <w:rsid w:val="001F3132"/>
    <w:rsid w:val="00200631"/>
    <w:rsid w:val="00200813"/>
    <w:rsid w:val="00215A7C"/>
    <w:rsid w:val="00225EDD"/>
    <w:rsid w:val="002339F9"/>
    <w:rsid w:val="00244741"/>
    <w:rsid w:val="002466DB"/>
    <w:rsid w:val="00251ACA"/>
    <w:rsid w:val="00260DF5"/>
    <w:rsid w:val="00267B4A"/>
    <w:rsid w:val="0028085A"/>
    <w:rsid w:val="00283EFC"/>
    <w:rsid w:val="00284242"/>
    <w:rsid w:val="00284935"/>
    <w:rsid w:val="00292929"/>
    <w:rsid w:val="00297C05"/>
    <w:rsid w:val="002A0FE9"/>
    <w:rsid w:val="002A759D"/>
    <w:rsid w:val="002C025C"/>
    <w:rsid w:val="002C6028"/>
    <w:rsid w:val="002D367B"/>
    <w:rsid w:val="002F35F4"/>
    <w:rsid w:val="002F7C0E"/>
    <w:rsid w:val="00312FF9"/>
    <w:rsid w:val="00324C9D"/>
    <w:rsid w:val="0033160C"/>
    <w:rsid w:val="0033414D"/>
    <w:rsid w:val="003444A7"/>
    <w:rsid w:val="0035118E"/>
    <w:rsid w:val="00366606"/>
    <w:rsid w:val="0037605F"/>
    <w:rsid w:val="00380030"/>
    <w:rsid w:val="003842CE"/>
    <w:rsid w:val="003A5EAB"/>
    <w:rsid w:val="003A7CEB"/>
    <w:rsid w:val="003B5082"/>
    <w:rsid w:val="003B5A2C"/>
    <w:rsid w:val="003C102C"/>
    <w:rsid w:val="003C28C5"/>
    <w:rsid w:val="003D1BA4"/>
    <w:rsid w:val="003E7E7A"/>
    <w:rsid w:val="003F0271"/>
    <w:rsid w:val="003F3C13"/>
    <w:rsid w:val="00402C46"/>
    <w:rsid w:val="00403266"/>
    <w:rsid w:val="00417056"/>
    <w:rsid w:val="0042032E"/>
    <w:rsid w:val="00422D5C"/>
    <w:rsid w:val="00423D1C"/>
    <w:rsid w:val="00426026"/>
    <w:rsid w:val="00427BAC"/>
    <w:rsid w:val="004356C7"/>
    <w:rsid w:val="00443B82"/>
    <w:rsid w:val="00447161"/>
    <w:rsid w:val="00457EFC"/>
    <w:rsid w:val="004721A0"/>
    <w:rsid w:val="00473C78"/>
    <w:rsid w:val="0048783A"/>
    <w:rsid w:val="004A1F56"/>
    <w:rsid w:val="004B4A47"/>
    <w:rsid w:val="004B6953"/>
    <w:rsid w:val="004C3BBE"/>
    <w:rsid w:val="004D1DE3"/>
    <w:rsid w:val="004D2947"/>
    <w:rsid w:val="004D7313"/>
    <w:rsid w:val="004E4E72"/>
    <w:rsid w:val="00506A03"/>
    <w:rsid w:val="005152A7"/>
    <w:rsid w:val="005266B9"/>
    <w:rsid w:val="00527069"/>
    <w:rsid w:val="0054720B"/>
    <w:rsid w:val="005506A4"/>
    <w:rsid w:val="0055613D"/>
    <w:rsid w:val="0055729B"/>
    <w:rsid w:val="00557DB3"/>
    <w:rsid w:val="0056337E"/>
    <w:rsid w:val="005733DA"/>
    <w:rsid w:val="00596558"/>
    <w:rsid w:val="005A1F81"/>
    <w:rsid w:val="005A6457"/>
    <w:rsid w:val="005B4B6A"/>
    <w:rsid w:val="005B505B"/>
    <w:rsid w:val="005D706A"/>
    <w:rsid w:val="005E47AB"/>
    <w:rsid w:val="006153E6"/>
    <w:rsid w:val="00643FDF"/>
    <w:rsid w:val="006475A8"/>
    <w:rsid w:val="00647E96"/>
    <w:rsid w:val="006531F5"/>
    <w:rsid w:val="006577CD"/>
    <w:rsid w:val="00664F43"/>
    <w:rsid w:val="00670349"/>
    <w:rsid w:val="00672CA7"/>
    <w:rsid w:val="00674C99"/>
    <w:rsid w:val="00681834"/>
    <w:rsid w:val="006943BD"/>
    <w:rsid w:val="006A00E2"/>
    <w:rsid w:val="006A7115"/>
    <w:rsid w:val="006B1214"/>
    <w:rsid w:val="006B1BE3"/>
    <w:rsid w:val="006D0985"/>
    <w:rsid w:val="006D0F29"/>
    <w:rsid w:val="006F1A93"/>
    <w:rsid w:val="006F44C6"/>
    <w:rsid w:val="00702D24"/>
    <w:rsid w:val="00704936"/>
    <w:rsid w:val="00704C23"/>
    <w:rsid w:val="007054AA"/>
    <w:rsid w:val="00707621"/>
    <w:rsid w:val="00716BF5"/>
    <w:rsid w:val="00734AD0"/>
    <w:rsid w:val="00735183"/>
    <w:rsid w:val="00735A6D"/>
    <w:rsid w:val="00736247"/>
    <w:rsid w:val="0074192D"/>
    <w:rsid w:val="00744184"/>
    <w:rsid w:val="00744E0C"/>
    <w:rsid w:val="00746197"/>
    <w:rsid w:val="007627FD"/>
    <w:rsid w:val="00767DEB"/>
    <w:rsid w:val="007773B1"/>
    <w:rsid w:val="007843CC"/>
    <w:rsid w:val="00785CF8"/>
    <w:rsid w:val="00787616"/>
    <w:rsid w:val="007A1BAA"/>
    <w:rsid w:val="007B0FF2"/>
    <w:rsid w:val="007B216F"/>
    <w:rsid w:val="007C542D"/>
    <w:rsid w:val="007D6FB9"/>
    <w:rsid w:val="00807989"/>
    <w:rsid w:val="0081454C"/>
    <w:rsid w:val="00816279"/>
    <w:rsid w:val="00816679"/>
    <w:rsid w:val="008217F7"/>
    <w:rsid w:val="00822621"/>
    <w:rsid w:val="00832492"/>
    <w:rsid w:val="008340A4"/>
    <w:rsid w:val="008365DC"/>
    <w:rsid w:val="0084598F"/>
    <w:rsid w:val="008518C2"/>
    <w:rsid w:val="00851D9C"/>
    <w:rsid w:val="00883B3A"/>
    <w:rsid w:val="00892FFF"/>
    <w:rsid w:val="0089399D"/>
    <w:rsid w:val="008A2F9D"/>
    <w:rsid w:val="008A5BD4"/>
    <w:rsid w:val="008B79B4"/>
    <w:rsid w:val="008C2539"/>
    <w:rsid w:val="008C78BC"/>
    <w:rsid w:val="008D47B5"/>
    <w:rsid w:val="008D5778"/>
    <w:rsid w:val="008E315E"/>
    <w:rsid w:val="008F2C09"/>
    <w:rsid w:val="008F552C"/>
    <w:rsid w:val="00900071"/>
    <w:rsid w:val="00914AA2"/>
    <w:rsid w:val="00917CAC"/>
    <w:rsid w:val="00922983"/>
    <w:rsid w:val="009257E9"/>
    <w:rsid w:val="00932EF0"/>
    <w:rsid w:val="00934296"/>
    <w:rsid w:val="009438CE"/>
    <w:rsid w:val="00947F22"/>
    <w:rsid w:val="00955DD6"/>
    <w:rsid w:val="00957FF7"/>
    <w:rsid w:val="00964185"/>
    <w:rsid w:val="009726E1"/>
    <w:rsid w:val="00975DFE"/>
    <w:rsid w:val="0098481A"/>
    <w:rsid w:val="0099661C"/>
    <w:rsid w:val="009A136A"/>
    <w:rsid w:val="009A75DF"/>
    <w:rsid w:val="009B17E6"/>
    <w:rsid w:val="009B4188"/>
    <w:rsid w:val="009C6870"/>
    <w:rsid w:val="009D67F1"/>
    <w:rsid w:val="009D7418"/>
    <w:rsid w:val="009E692D"/>
    <w:rsid w:val="009E79BE"/>
    <w:rsid w:val="009F2F4E"/>
    <w:rsid w:val="009F5140"/>
    <w:rsid w:val="009F7592"/>
    <w:rsid w:val="00A020D3"/>
    <w:rsid w:val="00A32091"/>
    <w:rsid w:val="00A34D0E"/>
    <w:rsid w:val="00A4286E"/>
    <w:rsid w:val="00A551DF"/>
    <w:rsid w:val="00A60325"/>
    <w:rsid w:val="00A70A81"/>
    <w:rsid w:val="00A87BEC"/>
    <w:rsid w:val="00A907D1"/>
    <w:rsid w:val="00A923D4"/>
    <w:rsid w:val="00A964F0"/>
    <w:rsid w:val="00AA0758"/>
    <w:rsid w:val="00AA2CE6"/>
    <w:rsid w:val="00AA5F0A"/>
    <w:rsid w:val="00AA75B0"/>
    <w:rsid w:val="00AB0A16"/>
    <w:rsid w:val="00AB3000"/>
    <w:rsid w:val="00AB3492"/>
    <w:rsid w:val="00AD70FA"/>
    <w:rsid w:val="00AF1207"/>
    <w:rsid w:val="00AF5981"/>
    <w:rsid w:val="00AF73D0"/>
    <w:rsid w:val="00AF7B26"/>
    <w:rsid w:val="00AF7C74"/>
    <w:rsid w:val="00B055BB"/>
    <w:rsid w:val="00B454FC"/>
    <w:rsid w:val="00B57266"/>
    <w:rsid w:val="00B666E8"/>
    <w:rsid w:val="00B72D34"/>
    <w:rsid w:val="00B86560"/>
    <w:rsid w:val="00B86C82"/>
    <w:rsid w:val="00B86CB8"/>
    <w:rsid w:val="00B96526"/>
    <w:rsid w:val="00B96932"/>
    <w:rsid w:val="00BA25C8"/>
    <w:rsid w:val="00BB4E2F"/>
    <w:rsid w:val="00BB4F4C"/>
    <w:rsid w:val="00BD5B41"/>
    <w:rsid w:val="00BD6E78"/>
    <w:rsid w:val="00BE4041"/>
    <w:rsid w:val="00C064FD"/>
    <w:rsid w:val="00C07C59"/>
    <w:rsid w:val="00C131E8"/>
    <w:rsid w:val="00C204C9"/>
    <w:rsid w:val="00C25287"/>
    <w:rsid w:val="00C425C3"/>
    <w:rsid w:val="00C504AC"/>
    <w:rsid w:val="00C504EE"/>
    <w:rsid w:val="00C50B1F"/>
    <w:rsid w:val="00C7408F"/>
    <w:rsid w:val="00C821C5"/>
    <w:rsid w:val="00C82446"/>
    <w:rsid w:val="00CA3B04"/>
    <w:rsid w:val="00CA4724"/>
    <w:rsid w:val="00CC7B55"/>
    <w:rsid w:val="00CD3FFC"/>
    <w:rsid w:val="00CD7B3C"/>
    <w:rsid w:val="00CE574C"/>
    <w:rsid w:val="00CF7C42"/>
    <w:rsid w:val="00D01A64"/>
    <w:rsid w:val="00D01F1D"/>
    <w:rsid w:val="00D02569"/>
    <w:rsid w:val="00D1048C"/>
    <w:rsid w:val="00D115AD"/>
    <w:rsid w:val="00D212E3"/>
    <w:rsid w:val="00D27684"/>
    <w:rsid w:val="00D32756"/>
    <w:rsid w:val="00D51A26"/>
    <w:rsid w:val="00D51F53"/>
    <w:rsid w:val="00D623F7"/>
    <w:rsid w:val="00D80E22"/>
    <w:rsid w:val="00D8317E"/>
    <w:rsid w:val="00D83511"/>
    <w:rsid w:val="00D96D35"/>
    <w:rsid w:val="00DA0A91"/>
    <w:rsid w:val="00DB03CC"/>
    <w:rsid w:val="00DE190C"/>
    <w:rsid w:val="00DE2794"/>
    <w:rsid w:val="00DF5305"/>
    <w:rsid w:val="00DF5514"/>
    <w:rsid w:val="00DF6E92"/>
    <w:rsid w:val="00E0036A"/>
    <w:rsid w:val="00E06DC7"/>
    <w:rsid w:val="00E109F9"/>
    <w:rsid w:val="00E14152"/>
    <w:rsid w:val="00E23424"/>
    <w:rsid w:val="00E253DF"/>
    <w:rsid w:val="00E32C96"/>
    <w:rsid w:val="00E3387F"/>
    <w:rsid w:val="00E33EA8"/>
    <w:rsid w:val="00E407C1"/>
    <w:rsid w:val="00E4230D"/>
    <w:rsid w:val="00E4686A"/>
    <w:rsid w:val="00E57279"/>
    <w:rsid w:val="00E624AE"/>
    <w:rsid w:val="00E71AE8"/>
    <w:rsid w:val="00E843F5"/>
    <w:rsid w:val="00E8557E"/>
    <w:rsid w:val="00E93E8F"/>
    <w:rsid w:val="00EA3781"/>
    <w:rsid w:val="00EB2A1C"/>
    <w:rsid w:val="00EB40FC"/>
    <w:rsid w:val="00EC35B0"/>
    <w:rsid w:val="00EE1175"/>
    <w:rsid w:val="00EF3050"/>
    <w:rsid w:val="00F17BCF"/>
    <w:rsid w:val="00F258CC"/>
    <w:rsid w:val="00F35558"/>
    <w:rsid w:val="00F4162F"/>
    <w:rsid w:val="00F4660A"/>
    <w:rsid w:val="00F742A0"/>
    <w:rsid w:val="00F80ABF"/>
    <w:rsid w:val="00F945D8"/>
    <w:rsid w:val="00FA04E9"/>
    <w:rsid w:val="00FA09D4"/>
    <w:rsid w:val="00FA5BD9"/>
    <w:rsid w:val="00FB4D68"/>
    <w:rsid w:val="00FC64DC"/>
    <w:rsid w:val="00FE1529"/>
    <w:rsid w:val="00FE5D1C"/>
    <w:rsid w:val="00FF19EE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7217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C7B55"/>
    <w:pPr>
      <w:keepNext/>
      <w:keepLines/>
      <w:spacing w:before="480"/>
      <w:contextualSpacing/>
      <w:outlineLvl w:val="0"/>
    </w:pPr>
    <w:rPr>
      <w:rFonts w:ascii="Arial" w:eastAsiaTheme="majorEastAsia" w:hAnsi="Arial" w:cs="Arial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E3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66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315E"/>
    <w:rPr>
      <w:rFonts w:asciiTheme="majorHAnsi" w:eastAsiaTheme="majorEastAsia" w:hAnsiTheme="majorHAnsi" w:cstheme="majorBidi"/>
      <w:b/>
      <w:bCs/>
      <w:color w:val="FF6600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C7B55"/>
    <w:rPr>
      <w:rFonts w:ascii="Arial" w:eastAsiaTheme="majorEastAsia" w:hAnsi="Arial" w:cs="Arial"/>
      <w:b/>
      <w:bCs/>
      <w:noProof/>
      <w:color w:val="345A8A" w:themeColor="accent1" w:themeShade="B5"/>
      <w:sz w:val="32"/>
      <w:szCs w:val="32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4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4F0"/>
    <w:rPr>
      <w:rFonts w:ascii="Lucida Grande" w:hAnsi="Lucida Grande" w:cs="Lucida Grande"/>
      <w:noProof/>
      <w:sz w:val="18"/>
      <w:szCs w:val="18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044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F05"/>
    <w:rPr>
      <w:noProof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044F05"/>
  </w:style>
  <w:style w:type="paragraph" w:styleId="En-tte">
    <w:name w:val="header"/>
    <w:basedOn w:val="Normal"/>
    <w:link w:val="En-tteCar"/>
    <w:uiPriority w:val="99"/>
    <w:unhideWhenUsed/>
    <w:rsid w:val="00044F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F05"/>
    <w:rPr>
      <w:noProof/>
      <w:lang w:val="fr-CA"/>
    </w:rPr>
  </w:style>
  <w:style w:type="table" w:styleId="Grilledutableau">
    <w:name w:val="Table Grid"/>
    <w:basedOn w:val="TableauNormal"/>
    <w:uiPriority w:val="59"/>
    <w:rsid w:val="00BB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6BF82-3BAE-4560-8A90-9B6A7E7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10</Pages>
  <Words>2168</Words>
  <Characters>11928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des Chenaux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Arseneault</dc:creator>
  <cp:keywords/>
  <dc:description/>
  <cp:lastModifiedBy>Lionel Arseneault</cp:lastModifiedBy>
  <cp:revision>28</cp:revision>
  <cp:lastPrinted>2017-11-09T18:38:00Z</cp:lastPrinted>
  <dcterms:created xsi:type="dcterms:W3CDTF">2019-09-17T20:17:00Z</dcterms:created>
  <dcterms:modified xsi:type="dcterms:W3CDTF">2019-10-09T18:51:00Z</dcterms:modified>
</cp:coreProperties>
</file>